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Firm</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Prepared for:</w:t>
      </w:r>
      <w:r>
        <w:t xml:space="preserve"> </w:t>
      </w:r>
      <w:r>
        <w:t xml:space="preserve">Regulatory Compliance and Quality Assurance Division</w:t>
      </w:r>
    </w:p>
    <w:p>
      <w:pPr>
        <w:pStyle w:val="BodyText"/>
      </w:pPr>
      <w:r>
        <w:rPr>
          <w:bCs/>
          <w:b/>
        </w:rPr>
        <w:t xml:space="preserve">Subject:</w:t>
      </w:r>
      <w:r>
        <w:t xml:space="preserve"> </w:t>
      </w:r>
      <w:r>
        <w:t xml:space="preserve">Evaluation of Accounting Practices and Compliance Standards</w:t>
      </w:r>
    </w:p>
    <w:p>
      <w:pPr>
        <w:pStyle w:val="BodyText"/>
      </w:pPr>
      <w:r>
        <w:rPr>
          <w:bCs/>
          <w:b/>
        </w:rPr>
        <w:t xml:space="preserve">Location:</w:t>
      </w:r>
      <w:r>
        <w:t xml:space="preserve"> </w:t>
      </w:r>
      <w:r>
        <w:t xml:space="preserve">United States, Los Angeles, California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standards, technical competence, and regulatory compliance of the accounting firm under review. The review was conducted in accordance with the standards established by the American Institute of Certified Public Accountants (AICPA) and the specific requirements of the California Board of Accountancy. The primary objective of this review is to ensure that the firm’s accounting practices align with the Generally Accepted Auditing Standards (GAAS) and Generally Accepted Accounting Principles (GAAP) as applicable within the United States.</w:t>
      </w:r>
    </w:p>
    <w:p>
      <w:pPr>
        <w:pStyle w:val="BodyText"/>
      </w:pPr>
      <w:r>
        <w:t xml:space="preserve">The scope of this review encompasses the firm’s operations based in Los Angeles, California. Given the dynamic economic environment of Los Angeles, which includes diverse industries such as entertainment, technology, and international trade, the review places significant emphasis on the firm’s ability to handle complex financial reporting requirements and cross-border transactions. The review period covers the fiscal year ending December 31, 2022.</w:t>
      </w:r>
    </w:p>
    <w:bookmarkEnd w:id="21"/>
    <w:bookmarkStart w:id="22" w:name="firm-profile-and-context"/>
    <w:p>
      <w:pPr>
        <w:pStyle w:val="Heading2"/>
      </w:pPr>
      <w:r>
        <w:t xml:space="preserve">2. Firm Profile and Context</w:t>
      </w:r>
    </w:p>
    <w:p>
      <w:pPr>
        <w:pStyle w:val="FirstParagraph"/>
      </w:pPr>
      <w:r>
        <w:t xml:space="preserve">The accounting firm under review is a mid-sized practice located in the heart of Los Angeles. The firm provides a range of services including audit, tax preparation, and advisory services to clients across various sectors. The firm’s client base is predominantly composed of small to medium-sized enterprises (SMEs) operating within the Los Angeles metropolitan area. The firm employs a team of certified public accountants (CPAs) and support staff who are responsible for ensuring the accuracy and integrity of financial statements.</w:t>
      </w:r>
    </w:p>
    <w:p>
      <w:pPr>
        <w:pStyle w:val="BodyText"/>
      </w:pPr>
      <w:r>
        <w:t xml:space="preserve">The firm’s location in Los Angeles presents unique challenges and opportunities. The city’s diverse economy requires accountants to be well-versed in industry-specific regulations and practices. Additionally, the firm must navigate the regulatory landscape of California, which includes stringent requirements for tax compliance and financial reporting.</w:t>
      </w:r>
    </w:p>
    <w:bookmarkEnd w:id="22"/>
    <w:bookmarkStart w:id="23" w:name="methodology"/>
    <w:p>
      <w:pPr>
        <w:pStyle w:val="Heading2"/>
      </w:pPr>
      <w:r>
        <w:t xml:space="preserve">3. Methodology</w:t>
      </w:r>
    </w:p>
    <w:p>
      <w:pPr>
        <w:pStyle w:val="FirstParagraph"/>
      </w:pPr>
      <w:r>
        <w:t xml:space="preserve">The peer review was conducted using a systematic approach that included the following steps:</w:t>
      </w:r>
    </w:p>
    <w:p>
      <w:pPr>
        <w:numPr>
          <w:ilvl w:val="0"/>
          <w:numId w:val="1001"/>
        </w:numPr>
        <w:pStyle w:val="Compact"/>
      </w:pPr>
      <w:r>
        <w:rPr>
          <w:bCs/>
          <w:b/>
        </w:rPr>
        <w:t xml:space="preserve">Document Review:</w:t>
      </w:r>
      <w:r>
        <w:t xml:space="preserve"> </w:t>
      </w:r>
      <w:r>
        <w:t xml:space="preserve">Examination of the firm’s quality control policies and procedures, engagement letters, and working papers.</w:t>
      </w:r>
    </w:p>
    <w:p>
      <w:pPr>
        <w:numPr>
          <w:ilvl w:val="0"/>
          <w:numId w:val="1001"/>
        </w:numPr>
        <w:pStyle w:val="Compact"/>
      </w:pPr>
      <w:r>
        <w:rPr>
          <w:bCs/>
          <w:b/>
        </w:rPr>
        <w:t xml:space="preserve">Interviews:</w:t>
      </w:r>
      <w:r>
        <w:t xml:space="preserve"> </w:t>
      </w:r>
      <w:r>
        <w:t xml:space="preserve">Discussions with key personnel, including the managing partner and senior accountants, to assess their understanding of professional standards and ethical requirements.</w:t>
      </w:r>
    </w:p>
    <w:p>
      <w:pPr>
        <w:numPr>
          <w:ilvl w:val="0"/>
          <w:numId w:val="1001"/>
        </w:numPr>
        <w:pStyle w:val="Compact"/>
      </w:pPr>
      <w:r>
        <w:rPr>
          <w:bCs/>
          <w:b/>
        </w:rPr>
        <w:t xml:space="preserve">Sample Testing:</w:t>
      </w:r>
      <w:r>
        <w:t xml:space="preserve"> </w:t>
      </w:r>
      <w:r>
        <w:t xml:space="preserve">Selection and review of a representative sample of audit and tax engagements to evaluate the quality of work performed.</w:t>
      </w:r>
    </w:p>
    <w:p>
      <w:pPr>
        <w:numPr>
          <w:ilvl w:val="0"/>
          <w:numId w:val="1001"/>
        </w:numPr>
        <w:pStyle w:val="Compact"/>
      </w:pPr>
      <w:r>
        <w:rPr>
          <w:bCs/>
          <w:b/>
        </w:rPr>
        <w:t xml:space="preserve">Compliance Check:</w:t>
      </w:r>
      <w:r>
        <w:t xml:space="preserve"> </w:t>
      </w:r>
      <w:r>
        <w:t xml:space="preserve">Verification of the firm’s compliance with AICPA standards and California Board of Accountancy regulations.</w:t>
      </w:r>
    </w:p>
    <w:p>
      <w:pPr>
        <w:pStyle w:val="FirstParagraph"/>
      </w:pPr>
      <w:r>
        <w:t xml:space="preserve">The review team consisted of experienced CPAs who are familiar with the accounting practices and regulatory environment in Los Angeles. The team ensured that the review was conducted objectively and without bias.</w:t>
      </w:r>
    </w:p>
    <w:bookmarkEnd w:id="23"/>
    <w:bookmarkStart w:id="28" w:name="findings"/>
    <w:p>
      <w:pPr>
        <w:pStyle w:val="Heading2"/>
      </w:pPr>
      <w:r>
        <w:t xml:space="preserve">4. Findings</w:t>
      </w:r>
    </w:p>
    <w:bookmarkStart w:id="24" w:name="quality-control-policies-and-procedures"/>
    <w:p>
      <w:pPr>
        <w:pStyle w:val="Heading3"/>
      </w:pPr>
      <w:r>
        <w:t xml:space="preserve">4.1 Quality Control Policies and Procedures</w:t>
      </w:r>
    </w:p>
    <w:p>
      <w:pPr>
        <w:pStyle w:val="FirstParagraph"/>
      </w:pPr>
      <w:r>
        <w:t xml:space="preserve">The firm has established comprehensive quality control policies and procedures that are designed to ensure the quality of its services. These policies cover areas such as client acceptance, engagement performance, and monitoring. The review found that the firm’s policies are generally well-documented and effectively communicated to staff. However, there is room for improvement in the area of ongoing monitoring and feedback mechanisms.</w:t>
      </w:r>
    </w:p>
    <w:bookmarkEnd w:id="24"/>
    <w:bookmarkStart w:id="25" w:name="technical-competence"/>
    <w:p>
      <w:pPr>
        <w:pStyle w:val="Heading3"/>
      </w:pPr>
      <w:r>
        <w:t xml:space="preserve">4.2 Technical Competence</w:t>
      </w:r>
    </w:p>
    <w:p>
      <w:pPr>
        <w:pStyle w:val="FirstParagraph"/>
      </w:pPr>
      <w:r>
        <w:t xml:space="preserve">The firm’s accountants demonstrated a high level of technical competence in the areas of audit and tax preparation. The review of sample engagements revealed that the accountants applied GAAS and GAAP appropriately and exercised professional skepticism where necessary. The firm’s ability to handle complex transactions, such as those involving international clients, was particularly noteworthy.</w:t>
      </w:r>
    </w:p>
    <w:bookmarkEnd w:id="25"/>
    <w:bookmarkStart w:id="26" w:name="compliance-with-ethical-standards"/>
    <w:p>
      <w:pPr>
        <w:pStyle w:val="Heading3"/>
      </w:pPr>
      <w:r>
        <w:t xml:space="preserve">4.3 Compliance with Ethical Standards</w:t>
      </w:r>
    </w:p>
    <w:p>
      <w:pPr>
        <w:pStyle w:val="FirstParagraph"/>
      </w:pPr>
      <w:r>
        <w:t xml:space="preserve">The firm adheres to the AICPA Code of Professional Conduct and the ethical standards set forth by the California Board of Accountancy. The review found no evidence of ethical violations or conflicts of interest. The firm’s policies on independence and confidentiality are robust and effectively enforced.</w:t>
      </w:r>
    </w:p>
    <w:bookmarkEnd w:id="26"/>
    <w:bookmarkStart w:id="27" w:name="client-service-and-communication"/>
    <w:p>
      <w:pPr>
        <w:pStyle w:val="Heading3"/>
      </w:pPr>
      <w:r>
        <w:t xml:space="preserve">4.4 Client Service and Communication</w:t>
      </w:r>
    </w:p>
    <w:p>
      <w:pPr>
        <w:pStyle w:val="FirstParagraph"/>
      </w:pPr>
      <w:r>
        <w:t xml:space="preserve">The firm maintains strong relationships with its clients and provides timely and accurate financial reporting. The review found that the firm’s accountants are responsive to client inquiries and provide valuable insights and recommendations. However, there is an opportunity to enhance the firm’s use of technology to improve client communication and service delivery.</w:t>
      </w:r>
    </w:p>
    <w:bookmarkEnd w:id="27"/>
    <w:bookmarkEnd w:id="28"/>
    <w:bookmarkStart w:id="29" w:name="recommendations"/>
    <w:p>
      <w:pPr>
        <w:pStyle w:val="Heading2"/>
      </w:pPr>
      <w:r>
        <w:t xml:space="preserve">5. Recommendations</w:t>
      </w:r>
    </w:p>
    <w:p>
      <w:pPr>
        <w:pStyle w:val="FirstParagraph"/>
      </w:pPr>
      <w:r>
        <w:t xml:space="preserve">Based on the findings of this peer review, the following recommendations are made to enhance the firm’s quality control and service delivery:</w:t>
      </w:r>
    </w:p>
    <w:p>
      <w:pPr>
        <w:numPr>
          <w:ilvl w:val="0"/>
          <w:numId w:val="1002"/>
        </w:numPr>
        <w:pStyle w:val="Compact"/>
      </w:pPr>
      <w:r>
        <w:rPr>
          <w:bCs/>
          <w:b/>
        </w:rPr>
        <w:t xml:space="preserve">Enhance Monitoring Processes:</w:t>
      </w:r>
      <w:r>
        <w:t xml:space="preserve"> </w:t>
      </w:r>
      <w:r>
        <w:t xml:space="preserve">Implement more robust monitoring and feedback mechanisms to ensure ongoing compliance with quality control policies.</w:t>
      </w:r>
    </w:p>
    <w:p>
      <w:pPr>
        <w:numPr>
          <w:ilvl w:val="0"/>
          <w:numId w:val="1002"/>
        </w:numPr>
        <w:pStyle w:val="Compact"/>
      </w:pPr>
      <w:r>
        <w:rPr>
          <w:bCs/>
          <w:b/>
        </w:rPr>
        <w:t xml:space="preserve">Invest in Technology:</w:t>
      </w:r>
      <w:r>
        <w:t xml:space="preserve"> </w:t>
      </w:r>
      <w:r>
        <w:t xml:space="preserve">Adopt advanced accounting software and client communication tools to improve efficiency and service quality.</w:t>
      </w:r>
    </w:p>
    <w:p>
      <w:pPr>
        <w:numPr>
          <w:ilvl w:val="0"/>
          <w:numId w:val="1002"/>
        </w:numPr>
        <w:pStyle w:val="Compact"/>
      </w:pPr>
      <w:r>
        <w:rPr>
          <w:bCs/>
          <w:b/>
        </w:rPr>
        <w:t xml:space="preserve">Continuous Professional Development:</w:t>
      </w:r>
      <w:r>
        <w:t xml:space="preserve"> </w:t>
      </w:r>
      <w:r>
        <w:t xml:space="preserve">Encourage staff to participate in ongoing professional development activities to stay current with changes in accounting standards and regulations.</w:t>
      </w:r>
    </w:p>
    <w:p>
      <w:pPr>
        <w:numPr>
          <w:ilvl w:val="0"/>
          <w:numId w:val="1002"/>
        </w:numPr>
        <w:pStyle w:val="Compact"/>
      </w:pPr>
      <w:r>
        <w:rPr>
          <w:bCs/>
          <w:b/>
        </w:rPr>
        <w:t xml:space="preserve">Strengthen Documentation:</w:t>
      </w:r>
      <w:r>
        <w:t xml:space="preserve"> </w:t>
      </w:r>
      <w:r>
        <w:t xml:space="preserve">Ensure that all engagements are thoroughly documented to provide a clear audit trail and support the work performed.</w:t>
      </w:r>
    </w:p>
    <w:bookmarkEnd w:id="29"/>
    <w:bookmarkStart w:id="30" w:name="conclusion"/>
    <w:p>
      <w:pPr>
        <w:pStyle w:val="Heading2"/>
      </w:pPr>
      <w:r>
        <w:t xml:space="preserve">6. Conclusion</w:t>
      </w:r>
    </w:p>
    <w:p>
      <w:pPr>
        <w:pStyle w:val="FirstParagraph"/>
      </w:pPr>
      <w:r>
        <w:t xml:space="preserve">This Peer Review Report concludes that the accounting firm under review operates in accordance with the professional standards and regulatory requirements applicable in the United States, particularly in Los Angeles, California. The firm demonstrates a strong commitment to quality, technical competence, and ethical conduct. By implementing the recommendations outlined in this report, the firm can further enhance its quality control practices and continue to provide high-quality services to its clients.</w:t>
      </w:r>
    </w:p>
    <w:p>
      <w:pPr>
        <w:pStyle w:val="BodyText"/>
      </w:pPr>
      <w:r>
        <w:t xml:space="preserve">The review team acknowledges the firm’s efforts to maintain high standards and looks forward to seeing the positive impact of the recommended improvements in future reviews.</w:t>
      </w:r>
    </w:p>
    <w:bookmarkEnd w:id="30"/>
    <w:p>
      <w:pPr>
        <w:pStyle w:val="BodyText"/>
      </w:pPr>
      <w:r>
        <w:rPr>
          <w:bCs/>
          <w:b/>
        </w:rPr>
        <w:t xml:space="preserve">Prepared by:</w:t>
      </w:r>
    </w:p>
    <w:p>
      <w:pPr>
        <w:pStyle w:val="BodyText"/>
      </w:pPr>
      <w:r>
        <w:t xml:space="preserve">John Doe, CPA</w:t>
      </w:r>
    </w:p>
    <w:p>
      <w:pPr>
        <w:pStyle w:val="BodyText"/>
      </w:pPr>
      <w:r>
        <w:t xml:space="preserve">Senior Reviewer</w:t>
      </w:r>
    </w:p>
    <w:p>
      <w:pPr>
        <w:pStyle w:val="BodyText"/>
      </w:pPr>
      <w:r>
        <w:t xml:space="preserve">Peer Review Committee</w:t>
      </w:r>
    </w:p>
    <w:p>
      <w:pPr>
        <w:pStyle w:val="BodyText"/>
      </w:pPr>
      <w:r>
        <w:t xml:space="preserve">Los Angeles,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Firm Evaluation</dc:title>
  <dc:creator/>
  <dc:language>en</dc:language>
  <cp:keywords/>
  <dcterms:created xsi:type="dcterms:W3CDTF">2026-10-10T05:55:20Z</dcterms:created>
  <dcterms:modified xsi:type="dcterms:W3CDTF">2026-10-10T05:55:20Z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