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Firm</w:t>
      </w:r>
      <w:r>
        <w:t xml:space="preserve"> </w:t>
      </w:r>
      <w:r>
        <w:t xml:space="preserve">Compliance</w:t>
      </w:r>
      <w:r>
        <w:t xml:space="preserve"> </w:t>
      </w:r>
      <w:r>
        <w:t xml:space="preserve">and</w:t>
      </w:r>
      <w:r>
        <w:t xml:space="preserve"> </w:t>
      </w:r>
      <w:r>
        <w:t xml:space="preserve">Quality</w:t>
      </w:r>
      <w:r>
        <w:t xml:space="preserve"> </w:t>
      </w:r>
      <w:r>
        <w:t xml:space="preserve">Control</w:t>
      </w:r>
    </w:p>
    <w:bookmarkStart w:id="20" w:name="peer-review-report"/>
    <w:p>
      <w:pPr>
        <w:pStyle w:val="Heading1"/>
      </w:pPr>
      <w:r>
        <w:t xml:space="preserve">Peer Review Report</w:t>
      </w:r>
    </w:p>
    <w:p>
      <w:pPr>
        <w:pStyle w:val="FirstParagraph"/>
      </w:pPr>
      <w:r>
        <w:rPr>
          <w:bCs/>
          <w:b/>
        </w:rPr>
        <w:t xml:space="preserve">Prepared for:</w:t>
      </w:r>
      <w:r>
        <w:t xml:space="preserve"> </w:t>
      </w:r>
      <w:r>
        <w:t xml:space="preserve">[Name of Accounting Firm]</w:t>
      </w:r>
    </w:p>
    <w:p>
      <w:pPr>
        <w:pStyle w:val="BodyText"/>
      </w:pPr>
      <w:r>
        <w:rPr>
          <w:bCs/>
          <w:b/>
        </w:rPr>
        <w:t xml:space="preserve">Location:</w:t>
      </w:r>
      <w:r>
        <w:t xml:space="preserve"> </w:t>
      </w:r>
      <w:r>
        <w:t xml:space="preserve">Miami, Florida, United States</w:t>
      </w:r>
    </w:p>
    <w:p>
      <w:pPr>
        <w:pStyle w:val="BodyText"/>
      </w:pPr>
      <w:r>
        <w:rPr>
          <w:bCs/>
          <w:b/>
        </w:rPr>
        <w:t xml:space="preserve">Review Period:</w:t>
      </w:r>
      <w:r>
        <w:t xml:space="preserve"> </w:t>
      </w:r>
      <w:r>
        <w:t xml:space="preserve">January 1, 2023 – December 31, 2023</w:t>
      </w:r>
    </w:p>
    <w:p>
      <w:pPr>
        <w:pStyle w:val="BodyText"/>
      </w:pPr>
      <w:r>
        <w:rPr>
          <w:bCs/>
          <w:b/>
        </w:rPr>
        <w:t xml:space="preserve">Date of Report:</w:t>
      </w:r>
      <w:r>
        <w:t xml:space="preserve"> </w:t>
      </w:r>
      <w:r>
        <w:t xml:space="preserve">[Insert Date]</w:t>
      </w:r>
    </w:p>
    <w:bookmarkEnd w:id="20"/>
    <w:bookmarkStart w:id="21" w:name="introduction"/>
    <w:p>
      <w:pPr>
        <w:pStyle w:val="Heading2"/>
      </w:pPr>
      <w:r>
        <w:t xml:space="preserve">Introduction</w:t>
      </w:r>
    </w:p>
    <w:p>
      <w:pPr>
        <w:pStyle w:val="FirstParagraph"/>
      </w:pPr>
      <w:r>
        <w:t xml:space="preserve">This Peer Review Report has been prepared in accordance with the standards established by the American Institute of Certified Public Accountants (AICPA) and the specific regulatory requirements applicable to accounting practices operating within Miami, Florida, United States. The purpose of this review is to evaluate the quality of work performed by the Accountant and their firm, ensuring compliance with professional standards, ethical guidelines, and local regulations.</w:t>
      </w:r>
    </w:p>
    <w:p>
      <w:pPr>
        <w:pStyle w:val="BodyText"/>
      </w:pPr>
      <w:r>
        <w:t xml:space="preserve">The review focuses on the firm's adherence to Generally Accepted Auditing Standards (GAAS), Generally Accepted Accounting Principles (GAAP), and other relevant frameworks. It also assesses the firm's internal quality control systems, including engagement planning, supervision, documentation, and review processes.</w:t>
      </w:r>
    </w:p>
    <w:bookmarkEnd w:id="21"/>
    <w:bookmarkStart w:id="22" w:name="scope-of-the-review"/>
    <w:p>
      <w:pPr>
        <w:pStyle w:val="Heading2"/>
      </w:pPr>
      <w:r>
        <w:t xml:space="preserve">Scope of the Review</w:t>
      </w:r>
    </w:p>
    <w:p>
      <w:pPr>
        <w:pStyle w:val="FirstParagraph"/>
      </w:pPr>
      <w:r>
        <w:t xml:space="preserve">The scope of this Peer Review encompasses the following areas:</w:t>
      </w:r>
    </w:p>
    <w:p>
      <w:pPr>
        <w:numPr>
          <w:ilvl w:val="0"/>
          <w:numId w:val="1001"/>
        </w:numPr>
        <w:pStyle w:val="Compact"/>
      </w:pPr>
      <w:r>
        <w:t xml:space="preserve">Audit engagements conducted during the review period.</w:t>
      </w:r>
    </w:p>
    <w:p>
      <w:pPr>
        <w:numPr>
          <w:ilvl w:val="0"/>
          <w:numId w:val="1001"/>
        </w:numPr>
        <w:pStyle w:val="Compact"/>
      </w:pPr>
      <w:r>
        <w:t xml:space="preserve">Review engagements, including reviews of financial statements for non-public entities.</w:t>
      </w:r>
    </w:p>
    <w:p>
      <w:pPr>
        <w:numPr>
          <w:ilvl w:val="0"/>
          <w:numId w:val="1001"/>
        </w:numPr>
        <w:pStyle w:val="Compact"/>
      </w:pPr>
      <w:r>
        <w:t xml:space="preserve">Compilation engagements and preparation of financial statements.</w:t>
      </w:r>
    </w:p>
    <w:p>
      <w:pPr>
        <w:numPr>
          <w:ilvl w:val="0"/>
          <w:numId w:val="1001"/>
        </w:numPr>
        <w:pStyle w:val="Compact"/>
      </w:pPr>
      <w:r>
        <w:t xml:space="preserve">Tax compliance and advisory services provided to clients in Miami and surrounding areas.</w:t>
      </w:r>
    </w:p>
    <w:p>
      <w:pPr>
        <w:numPr>
          <w:ilvl w:val="0"/>
          <w:numId w:val="1001"/>
        </w:numPr>
        <w:pStyle w:val="Compact"/>
      </w:pPr>
      <w:r>
        <w:t xml:space="preserve">Compliance with Florida Board of Accountancy regulations and AICPA Code of Professional Conduct.</w:t>
      </w:r>
    </w:p>
    <w:p>
      <w:pPr>
        <w:pStyle w:val="FirstParagraph"/>
      </w:pPr>
      <w:r>
        <w:t xml:space="preserve">The review was conducted by an independent peer reviewer with expertise in accounting practices and regulatory compliance. The reviewer examined a sample of engagements selected based on risk factors, complexity, and materiality.</w:t>
      </w:r>
    </w:p>
    <w:bookmarkEnd w:id="22"/>
    <w:bookmarkStart w:id="27" w:name="findings"/>
    <w:p>
      <w:pPr>
        <w:pStyle w:val="Heading2"/>
      </w:pPr>
      <w:r>
        <w:t xml:space="preserve">Findings</w:t>
      </w:r>
    </w:p>
    <w:bookmarkStart w:id="23" w:name="audit-engagements"/>
    <w:p>
      <w:pPr>
        <w:pStyle w:val="Heading3"/>
      </w:pPr>
      <w:r>
        <w:t xml:space="preserve">1. Audit Engagements</w:t>
      </w:r>
    </w:p>
    <w:p>
      <w:pPr>
        <w:pStyle w:val="FirstParagraph"/>
      </w:pPr>
      <w:r>
        <w:t xml:space="preserve">The audit engagements reviewed demonstrated a generally high level of compliance with GAAS. The Accountant and their team appropriately planned and executed audits, including the assessment of internal controls and the evaluation of significant risks. Documentation was thorough and supported the conclusions reached in the audit reports.</w:t>
      </w:r>
    </w:p>
    <w:p>
      <w:pPr>
        <w:pStyle w:val="BodyText"/>
      </w:pPr>
      <w:r>
        <w:t xml:space="preserve">However, minor deficiencies were noted in the documentation of certain analytical procedures. Specifically, the rationale for selecting specific benchmarks and the evaluation of unusual fluctuations were not always clearly articulated. These issues have been addressed through additional training and updated documentation templates.</w:t>
      </w:r>
    </w:p>
    <w:bookmarkEnd w:id="23"/>
    <w:bookmarkStart w:id="24" w:name="review-engagements"/>
    <w:p>
      <w:pPr>
        <w:pStyle w:val="Heading3"/>
      </w:pPr>
      <w:r>
        <w:t xml:space="preserve">2. Review Engagements</w:t>
      </w:r>
    </w:p>
    <w:p>
      <w:pPr>
        <w:pStyle w:val="FirstParagraph"/>
      </w:pPr>
      <w:r>
        <w:t xml:space="preserve">The review engagements were conducted in accordance with the Statements on Standards for Accounting and Review Services (SSARS). The Accountant performed appropriate inquiry and analytical procedures to identify material misstatements. The review reports were clear, concise, and compliant with professional standards.</w:t>
      </w:r>
    </w:p>
    <w:p>
      <w:pPr>
        <w:pStyle w:val="BodyText"/>
      </w:pPr>
      <w:r>
        <w:t xml:space="preserve">No significant deficiencies were identified in this area. The firm's approach to risk assessment and client communication was commendable.</w:t>
      </w:r>
    </w:p>
    <w:bookmarkEnd w:id="24"/>
    <w:bookmarkStart w:id="25" w:name="compilation-engagements"/>
    <w:p>
      <w:pPr>
        <w:pStyle w:val="Heading3"/>
      </w:pPr>
      <w:r>
        <w:t xml:space="preserve">3. Compilation Engagements</w:t>
      </w:r>
    </w:p>
    <w:p>
      <w:pPr>
        <w:pStyle w:val="FirstParagraph"/>
      </w:pPr>
      <w:r>
        <w:t xml:space="preserve">The compilation engagements reviewed were performed in accordance with SSARS. The Accountant ensured that financial statements were presented in accordance with GAAP or another applicable financial reporting framework. The compilation reports were appropriately worded and included necessary disclosures.</w:t>
      </w:r>
    </w:p>
    <w:p>
      <w:pPr>
        <w:pStyle w:val="BodyText"/>
      </w:pPr>
      <w:r>
        <w:t xml:space="preserve">A minor issue was identified in one engagement where the firm failed to obtain written confirmation from management regarding their responsibility for the financial statements. This has been corrected, and the firm has implemented a checklist to ensure all required representations are obtained.</w:t>
      </w:r>
    </w:p>
    <w:bookmarkEnd w:id="25"/>
    <w:bookmarkStart w:id="26" w:name="tax-compliance-and-advisory-services"/>
    <w:p>
      <w:pPr>
        <w:pStyle w:val="Heading3"/>
      </w:pPr>
      <w:r>
        <w:t xml:space="preserve">4. Tax Compliance and Advisory Services</w:t>
      </w:r>
    </w:p>
    <w:p>
      <w:pPr>
        <w:pStyle w:val="FirstParagraph"/>
      </w:pPr>
      <w:r>
        <w:t xml:space="preserve">The tax compliance and advisory services provided by the Accountant were found to be accurate and timely. The firm demonstrated a strong understanding of federal, state, and local tax laws applicable to clients in Miami, Florida. The firm also provided valuable advisory services to help clients optimize their tax positions while remaining compliant with regulations.</w:t>
      </w:r>
    </w:p>
    <w:p>
      <w:pPr>
        <w:pStyle w:val="BodyText"/>
      </w:pPr>
      <w:r>
        <w:t xml:space="preserve">No significant deficiencies were identified in this area. The firm's use of technology to streamline tax preparation and enhance accuracy was noted as a best practice.</w:t>
      </w:r>
    </w:p>
    <w:bookmarkEnd w:id="26"/>
    <w:bookmarkEnd w:id="27"/>
    <w:bookmarkStart w:id="28" w:name="quality-control-systems"/>
    <w:p>
      <w:pPr>
        <w:pStyle w:val="Heading2"/>
      </w:pPr>
      <w:r>
        <w:t xml:space="preserve">Quality Control Systems</w:t>
      </w:r>
    </w:p>
    <w:p>
      <w:pPr>
        <w:pStyle w:val="FirstParagraph"/>
      </w:pPr>
      <w:r>
        <w:t xml:space="preserve">The firm's quality control systems were evaluated based on the AICPA's Quality Control Standards. The firm has established policies and procedures for leadership responsibilities, ethical requirements, acceptance and continuance of client relationships, human resources, engagement performance, and monitoring.</w:t>
      </w:r>
    </w:p>
    <w:p>
      <w:pPr>
        <w:pStyle w:val="BodyText"/>
      </w:pPr>
      <w:r>
        <w:t xml:space="preserve">The firm's leadership demonstrated a commitment to quality by fostering a culture of professionalism and continuous improvement. The firm also conducted regular training sessions to keep staff updated on changes in accounting standards and regulatory requirements.</w:t>
      </w:r>
    </w:p>
    <w:p>
      <w:pPr>
        <w:pStyle w:val="BodyText"/>
      </w:pPr>
      <w:r>
        <w:t xml:space="preserve">One area for improvement is the firm's monitoring process. While the firm performs periodic reviews of completed engagements, there is an opportunity to enhance the frequency and depth of these reviews to ensure ongoing compliance with quality standards.</w:t>
      </w:r>
    </w:p>
    <w:bookmarkEnd w:id="28"/>
    <w:bookmarkStart w:id="29" w:name="conclusion"/>
    <w:p>
      <w:pPr>
        <w:pStyle w:val="Heading2"/>
      </w:pPr>
      <w:r>
        <w:t xml:space="preserve">Conclusion</w:t>
      </w:r>
    </w:p>
    <w:p>
      <w:pPr>
        <w:pStyle w:val="FirstParagraph"/>
      </w:pPr>
      <w:r>
        <w:t xml:space="preserve">Based on the findings of this Peer Review, the Accountant and their firm have demonstrated a high level of professionalism and compliance with applicable standards and regulations. The minor deficiencies identified have been addressed, and the firm has taken appropriate steps to prevent recurrence.</w:t>
      </w:r>
    </w:p>
    <w:p>
      <w:pPr>
        <w:pStyle w:val="BodyText"/>
      </w:pPr>
      <w:r>
        <w:t xml:space="preserve">The firm's operations in Miami, Florida, United States, reflect a strong commitment to serving its clients with integrity and excellence. The firm is encouraged to continue its focus on quality control and professional development to maintain its reputation as a trusted accounting practice.</w:t>
      </w:r>
    </w:p>
    <w:bookmarkEnd w:id="29"/>
    <w:p>
      <w:pPr>
        <w:pStyle w:val="BodyText"/>
      </w:pPr>
      <w:r>
        <w:rPr>
          <w:bCs/>
          <w:b/>
        </w:rPr>
        <w:t xml:space="preserve">Reviewed by:</w:t>
      </w:r>
    </w:p>
    <w:p>
      <w:pPr>
        <w:pStyle w:val="BodyText"/>
      </w:pPr>
      <w:r>
        <w:t xml:space="preserve">[Name of Peer Reviewer]</w:t>
      </w:r>
    </w:p>
    <w:p>
      <w:pPr>
        <w:pStyle w:val="BodyText"/>
      </w:pPr>
      <w:r>
        <w:t xml:space="preserve">[Title]</w:t>
      </w:r>
    </w:p>
    <w:p>
      <w:pPr>
        <w:pStyle w:val="BodyText"/>
      </w:pPr>
      <w:r>
        <w:t xml:space="preserve">[Firm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Firm Compliance and Quality Control</dc:title>
  <dc:creator/>
  <dc:language>en</dc:language>
  <cp:keywords/>
  <dcterms:created xsi:type="dcterms:W3CDTF">2026-10-10T04:35:11Z</dcterms:created>
  <dcterms:modified xsi:type="dcterms:W3CDTF">2026-10-10T04:35:11Z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