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Accounting</w:t>
      </w:r>
      <w:r>
        <w:t xml:space="preserve"> </w:t>
      </w:r>
      <w:r>
        <w:t xml:space="preserve">Firm</w:t>
      </w:r>
      <w:r>
        <w:t xml:space="preserve"> </w:t>
      </w:r>
      <w:r>
        <w:t xml:space="preserve">-</w:t>
      </w:r>
      <w:r>
        <w:t xml:space="preserve"> </w:t>
      </w:r>
      <w:r>
        <w:t xml:space="preserve">San</w:t>
      </w:r>
      <w:r>
        <w:t xml:space="preserve"> </w:t>
      </w:r>
      <w:r>
        <w:t xml:space="preserve">Francisco,</w:t>
      </w:r>
      <w:r>
        <w:t xml:space="preserve"> </w:t>
      </w:r>
      <w:r>
        <w:t xml:space="preserve">CA</w:t>
      </w:r>
    </w:p>
    <w:bookmarkStart w:id="20" w:name="peer-review-report"/>
    <w:p>
      <w:pPr>
        <w:pStyle w:val="Heading1"/>
      </w:pPr>
      <w:r>
        <w:t xml:space="preserve">Peer Review Report</w:t>
      </w:r>
    </w:p>
    <w:p>
      <w:pPr>
        <w:pStyle w:val="FirstParagraph"/>
      </w:pPr>
      <w:r>
        <w:rPr>
          <w:bCs/>
          <w:b/>
        </w:rPr>
        <w:t xml:space="preserve">Prepared for:</w:t>
      </w:r>
      <w:r>
        <w:t xml:space="preserve"> </w:t>
      </w:r>
      <w:r>
        <w:t xml:space="preserve">The Board of Accountancy of the State of California</w:t>
      </w:r>
    </w:p>
    <w:p>
      <w:pPr>
        <w:pStyle w:val="BodyText"/>
      </w:pPr>
      <w:r>
        <w:rPr>
          <w:bCs/>
          <w:b/>
        </w:rPr>
        <w:t xml:space="preserve">Subject Firm:</w:t>
      </w:r>
      <w:r>
        <w:t xml:space="preserve"> </w:t>
      </w:r>
      <w:r>
        <w:t xml:space="preserve">Pacific Coast Financial &amp; Tax Services, LLP</w:t>
      </w:r>
    </w:p>
    <w:p>
      <w:pPr>
        <w:pStyle w:val="BodyText"/>
      </w:pPr>
      <w:r>
        <w:rPr>
          <w:bCs/>
          <w:b/>
        </w:rPr>
        <w:t xml:space="preserve">Location:</w:t>
      </w:r>
      <w:r>
        <w:t xml:space="preserve"> </w:t>
      </w:r>
      <w:r>
        <w:t xml:space="preserve">San Francisco, United States</w:t>
      </w:r>
    </w:p>
    <w:p>
      <w:pPr>
        <w:pStyle w:val="BodyText"/>
      </w:pPr>
      <w:r>
        <w:rPr>
          <w:bCs/>
          <w:b/>
        </w:rPr>
        <w:t xml:space="preserve">Review Period:</w:t>
      </w:r>
      <w:r>
        <w:t xml:space="preserve"> </w:t>
      </w:r>
      <w:r>
        <w:t xml:space="preserve">January 1, 2023 – December 31, 2023</w:t>
      </w:r>
    </w:p>
    <w:p>
      <w:pPr>
        <w:pStyle w:val="BodyText"/>
      </w:pPr>
      <w:r>
        <w:rPr>
          <w:bCs/>
          <w:b/>
        </w:rPr>
        <w:t xml:space="preserve">Review Type:</w:t>
      </w:r>
      <w:r>
        <w:t xml:space="preserve"> </w:t>
      </w:r>
      <w:r>
        <w:t xml:space="preserve">System Review</w:t>
      </w:r>
    </w:p>
    <w:bookmarkEnd w:id="20"/>
    <w:bookmarkStart w:id="21" w:name="introduction-and-scope"/>
    <w:p>
      <w:pPr>
        <w:pStyle w:val="Heading2"/>
      </w:pPr>
      <w:r>
        <w:t xml:space="preserve">1. Introduction and Scope</w:t>
      </w:r>
    </w:p>
    <w:p>
      <w:pPr>
        <w:pStyle w:val="FirstParagraph"/>
      </w:pPr>
      <w:r>
        <w:t xml:space="preserve">This Peer Review Report has been prepared in accordance with the Statements on Standards for Quality Control Reviews (SSQRs) issued by the American Institute of Certified Public Accountants (AICPA). The purpose of this review is to evaluate the quality control system of Pacific Coast Financial &amp; Tax Services, LLP (hereinafter referred to as "the Firm"), a licensed accounting practice operating within the jurisdiction of San Francisco, California.</w:t>
      </w:r>
    </w:p>
    <w:p>
      <w:pPr>
        <w:pStyle w:val="BodyText"/>
      </w:pPr>
      <w:r>
        <w:t xml:space="preserve">The Firm specializes in providing audit, review, compilation, and tax services to small and medium-sized enterprises (SMEs) within the San Francisco Bay Area. Given the dynamic economic landscape of San Francisco, characterized by a high concentration of technology startups and real estate ventures, the Firm’s engagement portfolio presents unique complexities. This report assesses whether the Firm’s system of quality control is suitably designed and effectively applied to provide reasonable assurance that the Firm and its personnel comply with professional standards and regulatory requirements applicable in the United States.</w:t>
      </w:r>
    </w:p>
    <w:bookmarkEnd w:id="21"/>
    <w:bookmarkStart w:id="22" w:name="engagement-selection-and-methodology"/>
    <w:p>
      <w:pPr>
        <w:pStyle w:val="Heading2"/>
      </w:pPr>
      <w:r>
        <w:t xml:space="preserve">2. Engagement Selection and Methodology</w:t>
      </w:r>
    </w:p>
    <w:p>
      <w:pPr>
        <w:pStyle w:val="FirstParagraph"/>
      </w:pPr>
      <w:r>
        <w:t xml:space="preserve">The review team selected a sample of engagements to test the Firm’s compliance with professional standards. The selection process included both audit and tax engagements to ensure a comprehensive evaluation. The sample was chosen to reflect the diversity of clients served in the San Francisco market, including entities subject to California Corporate Franchise Tax Board regulations and federal IRS requirements.</w:t>
      </w:r>
    </w:p>
    <w:p>
      <w:pPr>
        <w:pStyle w:val="BodyText"/>
      </w:pPr>
      <w:r>
        <w:t xml:space="preserve">The methodology involved a detailed examination of the Firm’s quality control policies, including leadership responsibilities, ethical requirements, acceptance and continuance of client relationships, human resources, engagement performance, and monitoring. The review team interviewed key personnel, including the managing partner and the quality control coordinator, to assess the tone at the top and the practical application of quality control procedures.</w:t>
      </w:r>
    </w:p>
    <w:bookmarkEnd w:id="22"/>
    <w:bookmarkStart w:id="29" w:name="evaluation-of-quality-control-system"/>
    <w:p>
      <w:pPr>
        <w:pStyle w:val="Heading2"/>
      </w:pPr>
      <w:r>
        <w:t xml:space="preserve">3. Evaluation of Quality Control System</w:t>
      </w:r>
    </w:p>
    <w:bookmarkStart w:id="23" w:name="leadership-responsibilities-for-quality"/>
    <w:p>
      <w:pPr>
        <w:pStyle w:val="Heading3"/>
      </w:pPr>
      <w:r>
        <w:t xml:space="preserve">3.1 Leadership Responsibilities for Quality</w:t>
      </w:r>
    </w:p>
    <w:p>
      <w:pPr>
        <w:pStyle w:val="FirstParagraph"/>
      </w:pPr>
      <w:r>
        <w:t xml:space="preserve">The Firm demonstrates a strong commitment to quality, with leadership actively promoting a culture of integrity and professional skepticism. The managing partner has established clear policies regarding the importance of compliance with AICPA standards and California Board of Accountancy regulations. However, the review noted that while leadership emphasizes quality, there is a need for more frequent communication regarding emerging regulatory changes specific to the San Francisco business environment.</w:t>
      </w:r>
    </w:p>
    <w:bookmarkEnd w:id="23"/>
    <w:bookmarkStart w:id="24" w:name="relevant-ethical-requirements"/>
    <w:p>
      <w:pPr>
        <w:pStyle w:val="Heading3"/>
      </w:pPr>
      <w:r>
        <w:t xml:space="preserve">3.2 Relevant Ethical Requirements</w:t>
      </w:r>
    </w:p>
    <w:p>
      <w:pPr>
        <w:pStyle w:val="FirstParagraph"/>
      </w:pPr>
      <w:r>
        <w:t xml:space="preserve">The Firm has implemented procedures to ensure compliance with ethical requirements, including independence and confidentiality. All partners and staff are required to complete annual ethics training. The review found that the Firm adequately monitors independence, particularly concerning engagements with technology clients in San Francisco where cross-ownership is common. No significant deficiencies were identified in this area.</w:t>
      </w:r>
    </w:p>
    <w:bookmarkEnd w:id="24"/>
    <w:bookmarkStart w:id="25" w:name="Xed529ca1b04c137b45b32787744cc0dc2ea0025"/>
    <w:p>
      <w:pPr>
        <w:pStyle w:val="Heading3"/>
      </w:pPr>
      <w:r>
        <w:t xml:space="preserve">3.3 Acceptance and Continuance of Client Relationships</w:t>
      </w:r>
    </w:p>
    <w:p>
      <w:pPr>
        <w:pStyle w:val="FirstParagraph"/>
      </w:pPr>
      <w:r>
        <w:t xml:space="preserve">The Firm has established procedures for evaluating the integrity of prospective clients and the competence of its staff to perform engagements. The review noted that the Firm appropriately considers the risks associated with high-growth startups in San Francisco, including the potential for financial instability. However, it was recommended that the Firm enhance its documentation of risk assessments for clients operating in highly regulated industries.</w:t>
      </w:r>
    </w:p>
    <w:bookmarkEnd w:id="25"/>
    <w:bookmarkStart w:id="26" w:name="human-resources"/>
    <w:p>
      <w:pPr>
        <w:pStyle w:val="Heading3"/>
      </w:pPr>
      <w:r>
        <w:t xml:space="preserve">3.4 Human Resources</w:t>
      </w:r>
    </w:p>
    <w:p>
      <w:pPr>
        <w:pStyle w:val="FirstParagraph"/>
      </w:pPr>
      <w:r>
        <w:t xml:space="preserve">The Firm maintains policies for hiring, training, and evaluating staff. Given the competitive talent market in San Francisco, the Firm has invested in continuous professional development. The review found that staff are generally well-trained, but there is a need for more specialized training in areas such as cryptocurrency accounting and international tax, which are increasingly relevant to the Firm’s client base.</w:t>
      </w:r>
    </w:p>
    <w:bookmarkEnd w:id="26"/>
    <w:bookmarkStart w:id="27" w:name="engagement-performance"/>
    <w:p>
      <w:pPr>
        <w:pStyle w:val="Heading3"/>
      </w:pPr>
      <w:r>
        <w:t xml:space="preserve">3.5 Engagement Performance</w:t>
      </w:r>
    </w:p>
    <w:p>
      <w:pPr>
        <w:pStyle w:val="FirstParagraph"/>
      </w:pPr>
      <w:r>
        <w:t xml:space="preserve">The Firm’s engagement performance policies include supervision, review, and consultation procedures. The review team examined a sample of working papers and found that most engagements were performed in accordance with professional standards. However, a few instances of insufficient documentation were noted, particularly in tax engagements involving complex state and local tax issues in California.</w:t>
      </w:r>
    </w:p>
    <w:bookmarkEnd w:id="27"/>
    <w:bookmarkStart w:id="28" w:name="monitoring"/>
    <w:p>
      <w:pPr>
        <w:pStyle w:val="Heading3"/>
      </w:pPr>
      <w:r>
        <w:t xml:space="preserve">3.6 Monitoring</w:t>
      </w:r>
    </w:p>
    <w:p>
      <w:pPr>
        <w:pStyle w:val="FirstParagraph"/>
      </w:pPr>
      <w:r>
        <w:t xml:space="preserve">The Firm conducts periodic internal monitoring of its quality control system. The review found that the Firm’s monitoring procedures are generally effective, but there is an opportunity to improve the follow-up on identified deficiencies. The Firm should ensure that corrective actions are implemented promptly and that their effectiveness is evaluated.</w:t>
      </w:r>
    </w:p>
    <w:bookmarkEnd w:id="28"/>
    <w:bookmarkEnd w:id="29"/>
    <w:bookmarkStart w:id="30" w:name="findings-and-recommendations"/>
    <w:p>
      <w:pPr>
        <w:pStyle w:val="Heading2"/>
      </w:pPr>
      <w:r>
        <w:t xml:space="preserve">4. Findings and Recommendations</w:t>
      </w:r>
    </w:p>
    <w:p>
      <w:pPr>
        <w:pStyle w:val="FirstParagraph"/>
      </w:pPr>
      <w:r>
        <w:t xml:space="preserve">Based on the review, the following findings and recommendations are made:</w:t>
      </w:r>
    </w:p>
    <w:p>
      <w:pPr>
        <w:numPr>
          <w:ilvl w:val="0"/>
          <w:numId w:val="1001"/>
        </w:numPr>
        <w:pStyle w:val="Compact"/>
      </w:pPr>
      <w:r>
        <w:rPr>
          <w:bCs/>
          <w:b/>
        </w:rPr>
        <w:t xml:space="preserve">Enhanced Documentation:</w:t>
      </w:r>
      <w:r>
        <w:t xml:space="preserve"> </w:t>
      </w:r>
      <w:r>
        <w:t xml:space="preserve">The Firm should improve the documentation of risk assessments and engagement performance, particularly for complex tax and audit engagements.</w:t>
      </w:r>
    </w:p>
    <w:p>
      <w:pPr>
        <w:numPr>
          <w:ilvl w:val="0"/>
          <w:numId w:val="1001"/>
        </w:numPr>
        <w:pStyle w:val="Compact"/>
      </w:pPr>
      <w:r>
        <w:rPr>
          <w:bCs/>
          <w:b/>
        </w:rPr>
        <w:t xml:space="preserve">Specialized Training:</w:t>
      </w:r>
      <w:r>
        <w:t xml:space="preserve"> </w:t>
      </w:r>
      <w:r>
        <w:t xml:space="preserve">The Firm should provide additional training in emerging areas such as cryptocurrency accounting and international tax to better serve its San Francisco clientele.</w:t>
      </w:r>
    </w:p>
    <w:p>
      <w:pPr>
        <w:numPr>
          <w:ilvl w:val="0"/>
          <w:numId w:val="1001"/>
        </w:numPr>
        <w:pStyle w:val="Compact"/>
      </w:pPr>
      <w:r>
        <w:rPr>
          <w:bCs/>
          <w:b/>
        </w:rPr>
        <w:t xml:space="preserve">Regulatory Updates:</w:t>
      </w:r>
      <w:r>
        <w:t xml:space="preserve"> </w:t>
      </w:r>
      <w:r>
        <w:t xml:space="preserve">Leadership should increase the frequency of communications regarding regulatory changes affecting the Firm’s practice in California and the United States.</w:t>
      </w:r>
    </w:p>
    <w:p>
      <w:pPr>
        <w:numPr>
          <w:ilvl w:val="0"/>
          <w:numId w:val="1001"/>
        </w:numPr>
        <w:pStyle w:val="Compact"/>
      </w:pPr>
      <w:r>
        <w:rPr>
          <w:bCs/>
          <w:b/>
        </w:rPr>
        <w:t xml:space="preserve">Monitoring Follow-Up:</w:t>
      </w:r>
      <w:r>
        <w:t xml:space="preserve"> </w:t>
      </w:r>
      <w:r>
        <w:t xml:space="preserve">The Firm should strengthen its procedures for following up on identified deficiencies to ensure timely and effective corrective actions.</w:t>
      </w:r>
    </w:p>
    <w:bookmarkEnd w:id="30"/>
    <w:bookmarkStart w:id="31" w:name="conclusion"/>
    <w:p>
      <w:pPr>
        <w:pStyle w:val="Heading2"/>
      </w:pPr>
      <w:r>
        <w:t xml:space="preserve">5. Conclusion</w:t>
      </w:r>
    </w:p>
    <w:p>
      <w:pPr>
        <w:pStyle w:val="FirstParagraph"/>
      </w:pPr>
      <w:r>
        <w:t xml:space="preserve">In conclusion, Pacific Coast Financial &amp; Tax Services, LLP has a generally effective system of quality control that provides reasonable assurance of compliance with professional standards. The Firm’s commitment to quality is evident in its policies and practices. However, there are areas for improvement, particularly in documentation, specialized training, and monitoring follow-up. The Firm is encouraged to implement the recommendations outlined in this report to further enhance the quality of its services.</w:t>
      </w:r>
    </w:p>
    <w:p>
      <w:pPr>
        <w:pStyle w:val="BodyText"/>
      </w:pPr>
      <w:r>
        <w:t xml:space="preserve">This Peer Review Report is intended solely for the use of the Firm, the California Board of Accountancy, and other regulatory bodies as required by law. It should not be used for any other purpose or distributed to third parties without the express consent of the review team.</w:t>
      </w:r>
    </w:p>
    <w:bookmarkEnd w:id="31"/>
    <w:p>
      <w:pPr>
        <w:pStyle w:val="BodyText"/>
      </w:pPr>
      <w:r>
        <w:rPr>
          <w:bCs/>
          <w:b/>
        </w:rPr>
        <w:t xml:space="preserve">Review Team Lead:</w:t>
      </w:r>
    </w:p>
    <w:p>
      <w:pPr>
        <w:pStyle w:val="BodyText"/>
      </w:pPr>
      <w:r>
        <w:t xml:space="preserve">__________________________</w:t>
      </w:r>
    </w:p>
    <w:p>
      <w:pPr>
        <w:pStyle w:val="BodyText"/>
      </w:pPr>
      <w:r>
        <w:t xml:space="preserve">Jane Doe, CPA, CQA</w:t>
      </w:r>
    </w:p>
    <w:p>
      <w:pPr>
        <w:pStyle w:val="BodyText"/>
      </w:pPr>
      <w:r>
        <w:t xml:space="preserve">Senior Reviewer, Bay Area Peer Review Program</w:t>
      </w:r>
    </w:p>
    <w:p>
      <w:pPr>
        <w:pStyle w:val="BodyText"/>
      </w:pPr>
      <w:r>
        <w:t xml:space="preserve">Date: March 15,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Accounting Firm - San Francisco, CA</dc:title>
  <dc:creator/>
  <dc:language>en</dc:language>
  <cp:keywords/>
  <dcterms:created xsi:type="dcterms:W3CDTF">2026-10-10T04:22:57Z</dcterms:created>
  <dcterms:modified xsi:type="dcterms:W3CDTF">2026-10-10T04:22:57Z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