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6" w:name="Xfd0a5af8b71de7c2e23ddb2f1b9d58f2c5e99c2"/>
    <w:p>
      <w:pPr>
        <w:pStyle w:val="Heading1"/>
      </w:pPr>
      <w:r>
        <w:t xml:space="preserve">Peer Review Report: Professional Accounting Standards</w:t>
      </w:r>
    </w:p>
    <w:p>
      <w:pPr>
        <w:pStyle w:val="FirstParagraph"/>
      </w:pPr>
      <w:r>
        <w:rPr>
          <w:bCs/>
          <w:b/>
        </w:rPr>
        <w:t xml:space="preserve">Subject:</w:t>
      </w:r>
      <w:r>
        <w:t xml:space="preserve"> </w:t>
      </w:r>
      <w:r>
        <w:t xml:space="preserve">Annual Peer Review of Accounting Practices</w:t>
      </w:r>
      <w:r>
        <w:br/>
      </w:r>
      <w:r>
        <w:rPr>
          <w:bCs/>
          <w:b/>
        </w:rPr>
        <w:t xml:space="preserve">Location:</w:t>
      </w:r>
      <w:r>
        <w:t xml:space="preserve"> </w:t>
      </w:r>
      <w:r>
        <w:t xml:space="preserve">Tashkent, Uzbekistan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Quality Assurance &amp; Compliance</w:t>
      </w:r>
      <w:r>
        <w:br/>
      </w:r>
      <w:r>
        <w:rPr>
          <w:bCs/>
          <w:b/>
        </w:rPr>
        <w:t xml:space="preserve">Reference:</w:t>
      </w:r>
      <w:r>
        <w:t xml:space="preserve"> </w:t>
      </w:r>
      <w:r>
        <w:t xml:space="preserve">IFRS &amp; National Legislation of Uzbekistan</w:t>
      </w:r>
    </w:p>
    <w:bookmarkStart w:id="20" w:name="executive-summary"/>
    <w:p>
      <w:pPr>
        <w:pStyle w:val="Heading2"/>
      </w:pPr>
      <w:r>
        <w:t xml:space="preserve">1. Executive Summary</w:t>
      </w:r>
    </w:p>
    <w:p>
      <w:pPr>
        <w:pStyle w:val="FirstParagraph"/>
      </w:pPr>
      <w:r>
        <w:t xml:space="preserve">This Peer Review Report has been prepared to evaluate the professional competence, ethical adherence, and technical accuracy of the accounting practices employed by the subject Accountant operating within the business district of Tashkent, Uzbekistan. As the capital city of Uzbekistan continues to undergo significant economic liberalization and integration with global markets, the demand for high-quality financial reporting has never been more critical. This review assesses whether the Accountant's methodologies align with both the International Financial Reporting Standards (IFRS) and the specific regulatory requirements mandated by the Ministry of Finance of the Republic of Uzbekistan.</w:t>
      </w:r>
    </w:p>
    <w:p>
      <w:pPr>
        <w:pStyle w:val="BodyText"/>
      </w:pPr>
      <w:r>
        <w:t xml:space="preserve">The scope of this review encompasses the analysis of general ledger maintenance, tax compliance filings, internal control systems, and the preparation of financial statements for the fiscal year ending December 31, 2022. The findings indicate a generally robust framework, though specific areas regarding the localization of IFRS principles require attention to ensure full compliance with the evolving legal landscape in Tashkent.</w:t>
      </w:r>
    </w:p>
    <w:bookmarkEnd w:id="20"/>
    <w:bookmarkStart w:id="21" w:name="regulatory-context-and-scope"/>
    <w:p>
      <w:pPr>
        <w:pStyle w:val="Heading2"/>
      </w:pPr>
      <w:r>
        <w:t xml:space="preserve">2. Regulatory Context and Scope</w:t>
      </w:r>
    </w:p>
    <w:p>
      <w:pPr>
        <w:pStyle w:val="FirstParagraph"/>
      </w:pPr>
      <w:r>
        <w:t xml:space="preserve">The accounting profession in Uzbekistan is currently in a transitional phase, moving away from Soviet-era accounting models toward a fully IFRS-compliant system. For an Accountant practicing in Tashkent, this dual requirement creates a complex environment. The Peer Review Report must therefore verify that the professional is not only technically proficient in global standards but also adept at navigating the local statutory requirements, including the Tax Code of the Republic of Uzbekistan and the National Chart of Accounts.</w:t>
      </w:r>
    </w:p>
    <w:p>
      <w:pPr>
        <w:pStyle w:val="BodyText"/>
      </w:pPr>
      <w:r>
        <w:t xml:space="preserve">The review specifically targeted the following areas:</w:t>
      </w:r>
    </w:p>
    <w:p>
      <w:pPr>
        <w:numPr>
          <w:ilvl w:val="0"/>
          <w:numId w:val="1001"/>
        </w:numPr>
        <w:pStyle w:val="Compact"/>
      </w:pPr>
      <w:r>
        <w:t xml:space="preserve">Compliance with the Law of the Republic of Uzbekistan "On Accounting and Financial Reporting."</w:t>
      </w:r>
    </w:p>
    <w:p>
      <w:pPr>
        <w:numPr>
          <w:ilvl w:val="0"/>
          <w:numId w:val="1001"/>
        </w:numPr>
        <w:pStyle w:val="Compact"/>
      </w:pPr>
      <w:r>
        <w:t xml:space="preserve">Accuracy of VAT (Value Added Tax) calculations and submissions to the State Tax Committee.</w:t>
      </w:r>
    </w:p>
    <w:p>
      <w:pPr>
        <w:numPr>
          <w:ilvl w:val="0"/>
          <w:numId w:val="1001"/>
        </w:numPr>
        <w:pStyle w:val="Compact"/>
      </w:pPr>
      <w:r>
        <w:t xml:space="preserve">Proper classification of assets and liabilities in accordance with IFRS.</w:t>
      </w:r>
    </w:p>
    <w:p>
      <w:pPr>
        <w:numPr>
          <w:ilvl w:val="0"/>
          <w:numId w:val="1001"/>
        </w:numPr>
        <w:pStyle w:val="Compact"/>
      </w:pPr>
      <w:r>
        <w:t xml:space="preserve">Adherence to professional ethics and independence standards.</w:t>
      </w:r>
    </w:p>
    <w:bookmarkEnd w:id="21"/>
    <w:bookmarkStart w:id="22" w:name="X2d52d5904558ecde737553bef4285b0c6b9c1bd"/>
    <w:p>
      <w:pPr>
        <w:pStyle w:val="Heading2"/>
      </w:pPr>
      <w:r>
        <w:t xml:space="preserve">3. Technical Competence and Financial Reporting</w:t>
      </w:r>
    </w:p>
    <w:p>
      <w:pPr>
        <w:pStyle w:val="FirstParagraph"/>
      </w:pPr>
      <w:r>
        <w:t xml:space="preserve">The evaluation of the Accountant's technical skills revealed a strong command of double-entry bookkeeping principles. The financial statements prepared for the client entities in Tashkent demonstrated a clear understanding of revenue recognition and expense matching. However, the Peer Review Report identified minor discrepancies in the treatment of foreign currency transactions. Given that Tashkent is a hub for international trade, the volatility of the Uzbek Som (UZS) against major currencies necessitates rigorous revaluation procedures.</w:t>
      </w:r>
    </w:p>
    <w:p>
      <w:pPr>
        <w:pStyle w:val="BodyText"/>
      </w:pPr>
      <w:r>
        <w:t xml:space="preserve">While the Accountant correctly applied the functional currency concept, the documentation supporting the exchange rate sources used for month-end adjustments was occasionally insufficient. To maintain the highest standards expected in the Uzbek capital, it is recommended that the Accountant implement a stricter policy for documenting exchange rate sources, referencing the official rates published by the Central Bank of Uzbekistan.</w:t>
      </w:r>
    </w:p>
    <w:bookmarkEnd w:id="22"/>
    <w:bookmarkStart w:id="23" w:name="tax-compliance-and-local-legislation"/>
    <w:p>
      <w:pPr>
        <w:pStyle w:val="Heading2"/>
      </w:pPr>
      <w:r>
        <w:t xml:space="preserve">4. Tax Compliance and Local Legislation</w:t>
      </w:r>
    </w:p>
    <w:p>
      <w:pPr>
        <w:pStyle w:val="FirstParagraph"/>
      </w:pPr>
      <w:r>
        <w:t xml:space="preserve">A critical component of this Peer Review Report is the assessment of tax compliance. The tax environment in Uzbekistan has seen frequent updates, particularly regarding digitalization and electronic reporting. The Accountant demonstrated a satisfactory level of compliance with the submission of tax declarations via the electronic portal of the State Tax Committee.</w:t>
      </w:r>
    </w:p>
    <w:p>
      <w:pPr>
        <w:pStyle w:val="BodyText"/>
      </w:pPr>
      <w:r>
        <w:t xml:space="preserve">However, the review noted a need for enhanced vigilance regarding the calculation of social security contributions and the "single tax" regime for small businesses. As regulations in Tashkent are strictly enforced, any miscalculation can lead to significant penalties. The Accountant is advised to engage in continuous professional development (CPD) focused specifically on the latest amendments to the Uzbek Tax Code to mitigate these risks.</w:t>
      </w:r>
    </w:p>
    <w:bookmarkEnd w:id="23"/>
    <w:bookmarkStart w:id="24" w:name="internal-controls-and-ethical-standards"/>
    <w:p>
      <w:pPr>
        <w:pStyle w:val="Heading2"/>
      </w:pPr>
      <w:r>
        <w:t xml:space="preserve">5. Internal Controls and Ethical Standards</w:t>
      </w:r>
    </w:p>
    <w:p>
      <w:pPr>
        <w:pStyle w:val="FirstParagraph"/>
      </w:pPr>
      <w:r>
        <w:t xml:space="preserve">The integrity of the accounting function relies heavily on internal controls. This Peer Review Report examined the segregation of duties within the client's finance department. The findings suggest that while basic controls are in place, there is room for improvement in the authorization processes for high-value expenditures. In the context of Tashkent's growing corporate sector, robust internal controls are essential for attracting foreign investment and ensuring audit readiness.</w:t>
      </w:r>
    </w:p>
    <w:p>
      <w:pPr>
        <w:pStyle w:val="BodyText"/>
      </w:pPr>
      <w:r>
        <w:t xml:space="preserve">Furthermore, the Accountant adhered to the core ethical principles of integrity, objectivity, and professional competence. There were no conflicts of interest identified during the review period. The Accountant maintained confidentiality regarding client data, which is paramount in the professional community of Uzbekistan.</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Accountant is performing their duties with a high degree of professionalism and technical ability. The financial records maintained are reliable and provide a true and fair view of the financial position of the entities in Tashkent.</w:t>
      </w:r>
    </w:p>
    <w:p>
      <w:pPr>
        <w:pStyle w:val="BodyText"/>
      </w:pPr>
      <w:r>
        <w:t xml:space="preserve">To further enhance the quality of service and ensure seamless alignment with the modernizing regulatory framework of Uzbekistan, the following recommendations are made:</w:t>
      </w:r>
    </w:p>
    <w:p>
      <w:pPr>
        <w:numPr>
          <w:ilvl w:val="0"/>
          <w:numId w:val="1002"/>
        </w:numPr>
        <w:pStyle w:val="Compact"/>
      </w:pPr>
      <w:r>
        <w:t xml:space="preserve">Strengthen documentation for foreign currency revaluations.</w:t>
      </w:r>
    </w:p>
    <w:p>
      <w:pPr>
        <w:numPr>
          <w:ilvl w:val="0"/>
          <w:numId w:val="1002"/>
        </w:numPr>
        <w:pStyle w:val="Compact"/>
      </w:pPr>
      <w:r>
        <w:t xml:space="preserve">Update internal control policies to reflect best practices in corporate governance.</w:t>
      </w:r>
    </w:p>
    <w:p>
      <w:pPr>
        <w:numPr>
          <w:ilvl w:val="0"/>
          <w:numId w:val="1002"/>
        </w:numPr>
        <w:pStyle w:val="Compact"/>
      </w:pPr>
      <w:r>
        <w:t xml:space="preserve">Participate in specialized training regarding the latest IFRS interpretations and Uzbek tax law amendments.</w:t>
      </w:r>
    </w:p>
    <w:p>
      <w:pPr>
        <w:pStyle w:val="FirstParagraph"/>
      </w:pPr>
      <w:r>
        <w:t xml:space="preserve">By addressing these points, the Accountant will not only ensure compliance but also contribute to the broader goal of elevating the accounting profession in Tashkent to international standards.</w:t>
      </w:r>
    </w:p>
    <w:p>
      <w:pPr>
        <w:pStyle w:val="BodyText"/>
      </w:pPr>
      <w:r>
        <w:rPr>
          <w:bCs/>
          <w:b/>
        </w:rPr>
        <w:t xml:space="preserve">Reviewed By:</w:t>
      </w:r>
      <w:r>
        <w:br/>
      </w:r>
      <w:r>
        <w:t xml:space="preserve">Senior Peer Reviewer</w:t>
      </w:r>
      <w:r>
        <w:br/>
      </w:r>
      <w:r>
        <w:t xml:space="preserve">Institute of Professional Accountants</w:t>
      </w:r>
    </w:p>
    <w:p>
      <w:pPr>
        <w:pStyle w:val="BodyText"/>
      </w:pPr>
      <w:r>
        <w:rPr>
          <w:bCs/>
          <w:b/>
        </w:rPr>
        <w:t xml:space="preserve">Reviewed For:</w:t>
      </w:r>
      <w:r>
        <w:br/>
      </w:r>
      <w:r>
        <w:t xml:space="preserve">Subject Accountant</w:t>
      </w:r>
      <w:r>
        <w:br/>
      </w:r>
      <w:r>
        <w:t xml:space="preserve">Tashkent,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Practices in Tashkent, Uzbekistan</dc:title>
  <dc:creator/>
  <dc:language>en</dc:language>
  <cp:keywords/>
  <dcterms:created xsi:type="dcterms:W3CDTF">2026-10-10T02:45:15Z</dcterms:created>
  <dcterms:modified xsi:type="dcterms:W3CDTF">2026-10-10T02:45:15Z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