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Accounting Services and Compliance</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Professional Accounting Board of Venezuela</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technical competence, and ethical compliance of the Accountant under review. The assessment focuses specifically on the unique operational environment of Venezuela Caracas, where economic volatility, hyperinflationary conditions, and complex regulatory frameworks demand a high degree of adaptability and technical rigor. The review covers financial reporting, tax compliance, internal controls, and adherence to the International Financial Reporting Standards (IFRS) as adapted for the Venezuelan context.</w:t>
      </w:r>
    </w:p>
    <w:bookmarkEnd w:id="21"/>
    <w:bookmarkStart w:id="22" w:name="scope-and-objectives"/>
    <w:p>
      <w:pPr>
        <w:pStyle w:val="Heading2"/>
      </w:pPr>
      <w:r>
        <w:t xml:space="preserve">2. Scope and Objectives</w:t>
      </w:r>
    </w:p>
    <w:p>
      <w:pPr>
        <w:pStyle w:val="FirstParagraph"/>
      </w:pPr>
      <w:r>
        <w:t xml:space="preserve">The primary objective of this review is to ensure that the Accountant maintains the highest level of professional integrity and technical proficiency required by the local regulatory bodies in Venezuela Caracas. The scope includes:</w:t>
      </w:r>
    </w:p>
    <w:p>
      <w:pPr>
        <w:numPr>
          <w:ilvl w:val="0"/>
          <w:numId w:val="1001"/>
        </w:numPr>
        <w:pStyle w:val="Compact"/>
      </w:pPr>
      <w:r>
        <w:t xml:space="preserve">Assessment of financial statement preparation and presentation.</w:t>
      </w:r>
    </w:p>
    <w:p>
      <w:pPr>
        <w:numPr>
          <w:ilvl w:val="0"/>
          <w:numId w:val="1001"/>
        </w:numPr>
        <w:pStyle w:val="Compact"/>
      </w:pPr>
      <w:r>
        <w:t xml:space="preserve">Evaluation of compliance with Venezuelan tax laws and regulations.</w:t>
      </w:r>
    </w:p>
    <w:p>
      <w:pPr>
        <w:numPr>
          <w:ilvl w:val="0"/>
          <w:numId w:val="1001"/>
        </w:numPr>
        <w:pStyle w:val="Compact"/>
      </w:pPr>
      <w:r>
        <w:t xml:space="preserve">Review of internal control systems and risk management practices.</w:t>
      </w:r>
    </w:p>
    <w:p>
      <w:pPr>
        <w:numPr>
          <w:ilvl w:val="0"/>
          <w:numId w:val="1001"/>
        </w:numPr>
        <w:pStyle w:val="Compact"/>
      </w:pPr>
      <w:r>
        <w:t xml:space="preserve">Analysis of the Accountant's ability to navigate the dual-currency environment prevalent in Caracas.</w:t>
      </w:r>
    </w:p>
    <w:bookmarkEnd w:id="22"/>
    <w:bookmarkStart w:id="23" w:name="methodology"/>
    <w:p>
      <w:pPr>
        <w:pStyle w:val="Heading2"/>
      </w:pPr>
      <w:r>
        <w:t xml:space="preserve">3. Methodology</w:t>
      </w:r>
    </w:p>
    <w:p>
      <w:pPr>
        <w:pStyle w:val="FirstParagraph"/>
      </w:pPr>
      <w:r>
        <w:t xml:space="preserve">The review was conducted through a combination of document analysis, interviews with key stakeholders, and on-site observations at the Accountant's office in Venezuela Caracas. The methodology adhered to the standards set by the International Federation of Accountants (IFAC) and local Venezuelan accounting regulations.</w:t>
      </w:r>
    </w:p>
    <w:bookmarkEnd w:id="23"/>
    <w:bookmarkStart w:id="28" w:name="detailed-findings"/>
    <w:p>
      <w:pPr>
        <w:pStyle w:val="Heading2"/>
      </w:pPr>
      <w:r>
        <w:t xml:space="preserve">4. Detailed Findings</w:t>
      </w:r>
    </w:p>
    <w:bookmarkStart w:id="24" w:name="financial-reporting-and-ifrs-compliance"/>
    <w:p>
      <w:pPr>
        <w:pStyle w:val="Heading3"/>
      </w:pPr>
      <w:r>
        <w:t xml:space="preserve">4.1 Financial Reporting and IFRS Compliance</w:t>
      </w:r>
    </w:p>
    <w:p>
      <w:pPr>
        <w:pStyle w:val="FirstParagraph"/>
      </w:pPr>
      <w:r>
        <w:t xml:space="preserve">The Accountant demonstrates a strong understanding of IFRS, particularly in the context of hyperinflationary economies. The financial statements reviewed show accurate application of IAS 29 (Financial Reporting in Hyperinflationary Economies). However, there is room for improvement in the clarity of disclosures related to foreign currency transactions, which are critical in the Venezuela Caracas market.</w:t>
      </w:r>
    </w:p>
    <w:bookmarkEnd w:id="24"/>
    <w:bookmarkStart w:id="25" w:name="tax-compliance-and-regulatory-adherence"/>
    <w:p>
      <w:pPr>
        <w:pStyle w:val="Heading3"/>
      </w:pPr>
      <w:r>
        <w:t xml:space="preserve">4.2 Tax Compliance and Regulatory Adherence</w:t>
      </w:r>
    </w:p>
    <w:p>
      <w:pPr>
        <w:pStyle w:val="FirstParagraph"/>
      </w:pPr>
      <w:r>
        <w:t xml:space="preserve">The Accountant has shown diligence in complying with the tax regulations enforced by the Venezuelan tax authority. Timely filing of tax returns and accurate calculation of liabilities were observed. Nevertheless, the complexity of the tax environment in Venezuela Caracas requires continuous professional development to stay updated with frequent regulatory changes.</w:t>
      </w:r>
    </w:p>
    <w:bookmarkEnd w:id="25"/>
    <w:bookmarkStart w:id="26" w:name="internal-controls-and-risk-management"/>
    <w:p>
      <w:pPr>
        <w:pStyle w:val="Heading3"/>
      </w:pPr>
      <w:r>
        <w:t xml:space="preserve">4.3 Internal Controls and Risk Management</w:t>
      </w:r>
    </w:p>
    <w:p>
      <w:pPr>
        <w:pStyle w:val="FirstParagraph"/>
      </w:pPr>
      <w:r>
        <w:t xml:space="preserve">The internal control systems implemented by the Accountant are generally robust. However, given the economic instability in Venezuela Caracas, there is a need for enhanced risk management strategies, particularly in areas such as cash flow management and foreign exchange risk mitigation.</w:t>
      </w:r>
    </w:p>
    <w:bookmarkEnd w:id="26"/>
    <w:bookmarkStart w:id="27" w:name="professional-ethics-and-integrity"/>
    <w:p>
      <w:pPr>
        <w:pStyle w:val="Heading3"/>
      </w:pPr>
      <w:r>
        <w:t xml:space="preserve">4.4 Professional Ethics and Integrity</w:t>
      </w:r>
    </w:p>
    <w:p>
      <w:pPr>
        <w:pStyle w:val="FirstParagraph"/>
      </w:pPr>
      <w:r>
        <w:t xml:space="preserve">The Accountant adheres to the code of professional ethics, demonstrating integrity, objectivity, and professional competence. There were no instances of ethical breaches observed during the review period.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disclosures in financial statements related to foreign currency transactions to provide greater transparency for stakeholders in Venezuela Caracas.</w:t>
      </w:r>
    </w:p>
    <w:p>
      <w:pPr>
        <w:numPr>
          <w:ilvl w:val="0"/>
          <w:numId w:val="1002"/>
        </w:numPr>
        <w:pStyle w:val="Compact"/>
      </w:pPr>
      <w:r>
        <w:t xml:space="preserve">Invest in continuous professional development to stay abreast of changes in Venezuelan tax laws and accounting standards.</w:t>
      </w:r>
    </w:p>
    <w:p>
      <w:pPr>
        <w:numPr>
          <w:ilvl w:val="0"/>
          <w:numId w:val="1002"/>
        </w:numPr>
        <w:pStyle w:val="Compact"/>
      </w:pPr>
      <w:r>
        <w:t xml:space="preserve">Strengthen risk management practices, particularly in managing foreign exchange risks and cash flow uncertainties.</w:t>
      </w:r>
    </w:p>
    <w:p>
      <w:pPr>
        <w:numPr>
          <w:ilvl w:val="0"/>
          <w:numId w:val="1002"/>
        </w:numPr>
        <w:pStyle w:val="Compact"/>
      </w:pPr>
      <w:r>
        <w:t xml:space="preserve">Consider implementing advanced accounting software to improve efficiency and accuracy in financial reporting.</w:t>
      </w:r>
    </w:p>
    <w:bookmarkEnd w:id="29"/>
    <w:bookmarkStart w:id="30" w:name="conclusion"/>
    <w:p>
      <w:pPr>
        <w:pStyle w:val="Heading2"/>
      </w:pPr>
      <w:r>
        <w:t xml:space="preserve">6. Conclusion</w:t>
      </w:r>
    </w:p>
    <w:p>
      <w:pPr>
        <w:pStyle w:val="FirstParagraph"/>
      </w:pPr>
      <w:r>
        <w:t xml:space="preserve">The Accountant under review has demonstrated a high level of professional competence and ethical conduct. While there are areas for improvement, particularly in the context of the challenging economic environment of Venezuela Caracas, the overall performance meets the required professional standards. This Peer Review Report serves as a constructive tool for the Accountant to further enhance their practice and contribute to the integrity of the accounting profession in Venezuela.</w:t>
      </w:r>
    </w:p>
    <w:bookmarkEnd w:id="30"/>
    <w:p>
      <w:pPr>
        <w:pStyle w:val="BodyText"/>
      </w:pPr>
      <w:r>
        <w:rPr>
          <w:bCs/>
          <w:b/>
        </w:rPr>
        <w:t xml:space="preserve">Reviewed By:</w:t>
      </w:r>
    </w:p>
    <w:p>
      <w:pPr>
        <w:pStyle w:val="BodyText"/>
      </w:pPr>
      <w:r>
        <w:t xml:space="preserve">___________________________</w:t>
      </w:r>
    </w:p>
    <w:p>
      <w:pPr>
        <w:pStyle w:val="BodyText"/>
      </w:pPr>
      <w:r>
        <w:t xml:space="preserve">Senior Peer Reviewer</w:t>
      </w:r>
    </w:p>
    <w:p>
      <w:pPr>
        <w:pStyle w:val="BodyText"/>
      </w:pPr>
      <w:r>
        <w:t xml:space="preserve">Professional Accounting Board of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Venezuela Caracas</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