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Actor</w:t>
      </w:r>
      <w:r>
        <w:t xml:space="preserve"> </w:t>
      </w:r>
      <w:r>
        <w:t xml:space="preserve">Framework</w:t>
      </w:r>
      <w:r>
        <w:t xml:space="preserve"> </w:t>
      </w:r>
      <w:r>
        <w:t xml:space="preserve">Deployment</w:t>
      </w:r>
      <w:r>
        <w:t xml:space="preserve"> </w:t>
      </w:r>
      <w:r>
        <w:t xml:space="preserve">in</w:t>
      </w:r>
      <w:r>
        <w:t xml:space="preserve"> </w:t>
      </w:r>
      <w:r>
        <w:t xml:space="preserve">Brazil</w:t>
      </w:r>
      <w:r>
        <w:t xml:space="preserve"> </w:t>
      </w:r>
      <w:r>
        <w:t xml:space="preserve">Brasília</w:t>
      </w:r>
    </w:p>
    <w:bookmarkStart w:id="20" w:name="peer-review-report-actor-framework"/>
    <w:p>
      <w:pPr>
        <w:pStyle w:val="Heading1"/>
      </w:pPr>
      <w:r>
        <w:t xml:space="preserve">Peer Review Report: Actor Framework</w:t>
      </w:r>
    </w:p>
    <w:p>
      <w:pPr>
        <w:pStyle w:val="FirstParagraph"/>
      </w:pPr>
      <w:r>
        <w:rPr>
          <w:bCs/>
          <w:b/>
        </w:rPr>
        <w:t xml:space="preserve">Context:</w:t>
      </w:r>
      <w:r>
        <w:t xml:space="preserve"> </w:t>
      </w:r>
      <w:r>
        <w:t xml:space="preserve">Deployment and Operational Viability in Brazil Brasília</w:t>
      </w:r>
    </w:p>
    <w:p>
      <w:pPr>
        <w:pStyle w:val="BodyText"/>
      </w:pPr>
      <w:r>
        <w:rPr>
          <w:bCs/>
          <w:b/>
        </w:rPr>
        <w:t xml:space="preserve">Report ID:</w:t>
      </w:r>
      <w:r>
        <w:t xml:space="preserve"> </w:t>
      </w:r>
      <w:r>
        <w:t xml:space="preserve">PR-2023-BSB-ACT-001</w:t>
      </w:r>
    </w:p>
    <w:p>
      <w:pPr>
        <w:pStyle w:val="BodyText"/>
      </w:pPr>
      <w:r>
        <w:rPr>
          <w:bCs/>
          <w:b/>
        </w:rPr>
        <w:t xml:space="preserve">Date:</w:t>
      </w:r>
      <w:r>
        <w:t xml:space="preserve"> </w:t>
      </w:r>
      <w:r>
        <w:t xml:space="preserve">October 24, 2023</w:t>
      </w:r>
    </w:p>
    <w:p>
      <w:pPr>
        <w:pStyle w:val="BodyText"/>
      </w:pPr>
      <w:r>
        <w:rPr>
          <w:bCs/>
          <w:b/>
        </w:rPr>
        <w:t xml:space="preserve">Reviewer:</w:t>
      </w:r>
      <w:r>
        <w:t xml:space="preserve"> </w:t>
      </w:r>
      <w:r>
        <w:t xml:space="preserve">Senior Systems Architect Team</w:t>
      </w:r>
    </w:p>
    <w:p>
      <w:pPr>
        <w:pStyle w:val="BodyText"/>
      </w:pPr>
      <w:r>
        <w:rPr>
          <w:bCs/>
          <w:b/>
        </w:rPr>
        <w:t xml:space="preserve">Subject:</w:t>
      </w:r>
      <w:r>
        <w:t xml:space="preserve"> </w:t>
      </w:r>
      <w:r>
        <w:t xml:space="preserve">Actor Model Implementation</w:t>
      </w:r>
    </w:p>
    <w:bookmarkEnd w:id="20"/>
    <w:bookmarkStart w:id="21" w:name="executive-summary"/>
    <w:p>
      <w:pPr>
        <w:pStyle w:val="Heading2"/>
      </w:pPr>
      <w:r>
        <w:t xml:space="preserve">1. Executive Summary</w:t>
      </w:r>
    </w:p>
    <w:p>
      <w:pPr>
        <w:pStyle w:val="FirstParagraph"/>
      </w:pPr>
      <w:r>
        <w:t xml:space="preserve">This Peer Review Report evaluates the technical architecture, scalability, and operational readiness of the</w:t>
      </w:r>
      <w:r>
        <w:t xml:space="preserve"> </w:t>
      </w:r>
      <w:r>
        <w:rPr>
          <w:bCs/>
          <w:b/>
        </w:rPr>
        <w:t xml:space="preserve">Actor</w:t>
      </w:r>
      <w:r>
        <w:t xml:space="preserve"> </w:t>
      </w:r>
      <w:r>
        <w:t xml:space="preserve">framework implementation intended for deployment within the digital infrastructure of</w:t>
      </w:r>
      <w:r>
        <w:t xml:space="preserve"> </w:t>
      </w:r>
      <w:r>
        <w:rPr>
          <w:bCs/>
          <w:b/>
        </w:rPr>
        <w:t xml:space="preserve">Brazil Brasília</w:t>
      </w:r>
      <w:r>
        <w:t xml:space="preserve">. The review focuses on the suitability of the Actor model for handling high-concurrency government services, public data processing, and real-time citizen interaction systems typical of the Federal District's administrative needs.</w:t>
      </w:r>
    </w:p>
    <w:p>
      <w:pPr>
        <w:pStyle w:val="BodyText"/>
      </w:pPr>
      <w:r>
        <w:t xml:space="preserve">The review concludes that the Actor-based architecture is highly appropriate for the distributed nature of Brasília's smart city initiatives. However, specific adjustments regarding latency optimization and data sovereignty compliance are required before full-scale production deployment.</w:t>
      </w:r>
    </w:p>
    <w:bookmarkEnd w:id="21"/>
    <w:bookmarkStart w:id="22" w:name="introduction-and-scope"/>
    <w:p>
      <w:pPr>
        <w:pStyle w:val="Heading2"/>
      </w:pPr>
      <w:r>
        <w:t xml:space="preserve">2. Introduction and Scope</w:t>
      </w:r>
    </w:p>
    <w:p>
      <w:pPr>
        <w:pStyle w:val="FirstParagraph"/>
      </w:pPr>
      <w:r>
        <w:t xml:space="preserve">The</w:t>
      </w:r>
      <w:r>
        <w:t xml:space="preserve"> </w:t>
      </w:r>
      <w:r>
        <w:rPr>
          <w:bCs/>
          <w:b/>
        </w:rPr>
        <w:t xml:space="preserve">Actor</w:t>
      </w:r>
      <w:r>
        <w:t xml:space="preserve"> </w:t>
      </w:r>
      <w:r>
        <w:t xml:space="preserve">model is a computational model for concurrent computation that treats "actors" as the universal primitives of concurrent computation. In the context of</w:t>
      </w:r>
      <w:r>
        <w:t xml:space="preserve"> </w:t>
      </w:r>
      <w:r>
        <w:rPr>
          <w:bCs/>
          <w:b/>
        </w:rPr>
        <w:t xml:space="preserve">Brazil Brasília</w:t>
      </w:r>
      <w:r>
        <w:t xml:space="preserve">, this framework is proposed to manage complex, asynchronous workflows across various municipal departments.</w:t>
      </w:r>
    </w:p>
    <w:p>
      <w:pPr>
        <w:pStyle w:val="BodyText"/>
      </w:pPr>
      <w:r>
        <w:t xml:space="preserve">The scope of this review includes:</w:t>
      </w:r>
    </w:p>
    <w:p>
      <w:pPr>
        <w:numPr>
          <w:ilvl w:val="0"/>
          <w:numId w:val="1001"/>
        </w:numPr>
        <w:pStyle w:val="Compact"/>
      </w:pPr>
      <w:r>
        <w:t xml:space="preserve">Architectural alignment with Brasília's existing IT landscape.</w:t>
      </w:r>
    </w:p>
    <w:p>
      <w:pPr>
        <w:numPr>
          <w:ilvl w:val="0"/>
          <w:numId w:val="1001"/>
        </w:numPr>
        <w:pStyle w:val="Compact"/>
      </w:pPr>
      <w:r>
        <w:t xml:space="preserve">Performance analysis under high-load scenarios typical of federal service peaks.</w:t>
      </w:r>
    </w:p>
    <w:p>
      <w:pPr>
        <w:numPr>
          <w:ilvl w:val="0"/>
          <w:numId w:val="1001"/>
        </w:numPr>
        <w:pStyle w:val="Compact"/>
      </w:pPr>
      <w:r>
        <w:t xml:space="preserve">Compliance with Brazilian data protection laws (LGPD).</w:t>
      </w:r>
    </w:p>
    <w:p>
      <w:pPr>
        <w:numPr>
          <w:ilvl w:val="0"/>
          <w:numId w:val="1001"/>
        </w:numPr>
        <w:pStyle w:val="Compact"/>
      </w:pPr>
      <w:r>
        <w:t xml:space="preserve">Resilience and fault tolerance mechanisms.</w:t>
      </w:r>
    </w:p>
    <w:bookmarkEnd w:id="22"/>
    <w:bookmarkStart w:id="25" w:name="architectural-assessment"/>
    <w:p>
      <w:pPr>
        <w:pStyle w:val="Heading2"/>
      </w:pPr>
      <w:r>
        <w:t xml:space="preserve">3. Architectural Assessment</w:t>
      </w:r>
    </w:p>
    <w:bookmarkStart w:id="23" w:name="concurrency-and-scalability"/>
    <w:p>
      <w:pPr>
        <w:pStyle w:val="Heading3"/>
      </w:pPr>
      <w:r>
        <w:t xml:space="preserve">3.1 Concurrency and Scalability</w:t>
      </w:r>
    </w:p>
    <w:p>
      <w:pPr>
        <w:pStyle w:val="FirstParagraph"/>
      </w:pPr>
      <w:r>
        <w:t xml:space="preserve">The Actor framework demonstrates excellent scalability. For a capital city like</w:t>
      </w:r>
      <w:r>
        <w:t xml:space="preserve"> </w:t>
      </w:r>
      <w:r>
        <w:rPr>
          <w:bCs/>
          <w:b/>
        </w:rPr>
        <w:t xml:space="preserve">Brazil Brasília</w:t>
      </w:r>
      <w:r>
        <w:t xml:space="preserve">, where digital services must handle thousands of simultaneous requests during tax seasons or public registration periods, the lightweight nature of Actors is a significant advantage. Unlike traditional thread-based models, Actors allow for millions of concurrent entities with minimal memory overhead.</w:t>
      </w:r>
    </w:p>
    <w:p>
      <w:pPr>
        <w:pStyle w:val="BodyText"/>
      </w:pPr>
      <w:r>
        <w:t xml:space="preserve">The review confirms that the system can horizontally scale across the cloud infrastructure available in the region, ensuring that service degradation is minimized during peak usage times.</w:t>
      </w:r>
    </w:p>
    <w:bookmarkEnd w:id="23"/>
    <w:bookmarkStart w:id="24" w:name="distributed-systems-management"/>
    <w:p>
      <w:pPr>
        <w:pStyle w:val="Heading3"/>
      </w:pPr>
      <w:r>
        <w:t xml:space="preserve">3.2 Distributed Systems Management</w:t>
      </w:r>
    </w:p>
    <w:p>
      <w:pPr>
        <w:pStyle w:val="FirstParagraph"/>
      </w:pPr>
      <w:r>
        <w:t xml:space="preserve">Brasília's infrastructure is geographically distributed. The Actor model's inherent support for distributed systems allows for seamless communication between nodes located in different data centers within the Federal District. The message-passing paradigm ensures that state is encapsulated, reducing the risk of race conditions and data corruption in shared resources.</w:t>
      </w:r>
    </w:p>
    <w:bookmarkEnd w:id="24"/>
    <w:bookmarkEnd w:id="25"/>
    <w:bookmarkStart w:id="28" w:name="Xa10ba120257c01e9cbee339a07ad1e3f9670c78"/>
    <w:p>
      <w:pPr>
        <w:pStyle w:val="Heading2"/>
      </w:pPr>
      <w:r>
        <w:t xml:space="preserve">4. Compliance and Localization (Brazil Brasília)</w:t>
      </w:r>
    </w:p>
    <w:bookmarkStart w:id="26" w:name="data-sovereignty-and-lgpd"/>
    <w:p>
      <w:pPr>
        <w:pStyle w:val="Heading3"/>
      </w:pPr>
      <w:r>
        <w:t xml:space="preserve">4.1 Data Sovereignty and LGPD</w:t>
      </w:r>
    </w:p>
    <w:p>
      <w:pPr>
        <w:pStyle w:val="FirstParagraph"/>
      </w:pPr>
      <w:r>
        <w:t xml:space="preserve">A critical aspect of this review is the adherence to the Lei Geral de Proteção de Dados (LGPD). The Actor implementation must ensure that all stateful Actors processing citizen data reside within data centers located in</w:t>
      </w:r>
      <w:r>
        <w:t xml:space="preserve"> </w:t>
      </w:r>
      <w:r>
        <w:rPr>
          <w:bCs/>
          <w:b/>
        </w:rPr>
        <w:t xml:space="preserve">Brazil Brasília</w:t>
      </w:r>
      <w:r>
        <w:t xml:space="preserve"> </w:t>
      </w:r>
      <w:r>
        <w:t xml:space="preserve">or approved Brazilian regions.</w:t>
      </w:r>
    </w:p>
    <w:p>
      <w:pPr>
        <w:pStyle w:val="BodyText"/>
      </w:pPr>
      <w:r>
        <w:rPr>
          <w:bCs/>
          <w:b/>
        </w:rPr>
        <w:t xml:space="preserve">Observation:</w:t>
      </w:r>
      <w:r>
        <w:t xml:space="preserve"> </w:t>
      </w:r>
      <w:r>
        <w:t xml:space="preserve">The current configuration allows for dynamic actor migration. This feature must be constrained to prevent actors holding sensitive personal data from migrating to nodes outside of Brazilian jurisdiction.</w:t>
      </w:r>
    </w:p>
    <w:bookmarkEnd w:id="26"/>
    <w:bookmarkStart w:id="27" w:name="language-and-cultural-adaptation"/>
    <w:p>
      <w:pPr>
        <w:pStyle w:val="Heading3"/>
      </w:pPr>
      <w:r>
        <w:t xml:space="preserve">4.2 Language and Cultural Adaptation</w:t>
      </w:r>
    </w:p>
    <w:p>
      <w:pPr>
        <w:pStyle w:val="FirstParagraph"/>
      </w:pPr>
      <w:r>
        <w:t xml:space="preserve">While the Actor framework is language-agnostic, the application layer interacting with it must support Portuguese (pt-BR) natively. The review notes that error handling and logging mechanisms within the Actor system should be localized to facilitate maintenance by the local technical teams in Brasília.</w:t>
      </w:r>
    </w:p>
    <w:bookmarkEnd w:id="27"/>
    <w:bookmarkEnd w:id="28"/>
    <w:bookmarkStart w:id="29" w:name="performance-and-reliability-testing"/>
    <w:p>
      <w:pPr>
        <w:pStyle w:val="Heading2"/>
      </w:pPr>
      <w:r>
        <w:t xml:space="preserve">5. Performance and Reliability Testing</w:t>
      </w:r>
    </w:p>
    <w:p>
      <w:pPr>
        <w:pStyle w:val="FirstParagraph"/>
      </w:pPr>
      <w:r>
        <w:t xml:space="preserve">Load testing was conducted simulating traffic patterns observed in Brasília's public portals.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Metric</w:t>
            </w:r>
          </w:p>
        </w:tc>
        <w:tc>
          <w:tcPr/>
          <w:p>
            <w:pPr>
              <w:pStyle w:val="Compact"/>
              <w:jc w:val="left"/>
            </w:pPr>
            <w:r>
              <w:t xml:space="preserve">Target</w:t>
            </w:r>
          </w:p>
        </w:tc>
        <w:tc>
          <w:tcPr/>
          <w:p>
            <w:pPr>
              <w:pStyle w:val="Compact"/>
              <w:jc w:val="left"/>
            </w:pPr>
            <w:r>
              <w:t xml:space="preserve">Result</w:t>
            </w:r>
          </w:p>
        </w:tc>
        <w:tc>
          <w:tcPr/>
          <w:p>
            <w:pPr>
              <w:pStyle w:val="Compact"/>
              <w:jc w:val="left"/>
            </w:pPr>
            <w:r>
              <w:t xml:space="preserve">Status</w:t>
            </w:r>
          </w:p>
        </w:tc>
      </w:tr>
      <w:tr>
        <w:tc>
          <w:tcPr/>
          <w:p>
            <w:pPr>
              <w:pStyle w:val="Compact"/>
              <w:jc w:val="left"/>
            </w:pPr>
            <w:r>
              <w:t xml:space="preserve">Latency (p99)</w:t>
            </w:r>
          </w:p>
        </w:tc>
        <w:tc>
          <w:tcPr/>
          <w:p>
            <w:pPr>
              <w:pStyle w:val="Compact"/>
              <w:jc w:val="left"/>
            </w:pPr>
            <w:r>
              <w:t xml:space="preserve">&lt; 200ms</w:t>
            </w:r>
          </w:p>
        </w:tc>
        <w:tc>
          <w:tcPr/>
          <w:p>
            <w:pPr>
              <w:pStyle w:val="Compact"/>
              <w:jc w:val="left"/>
            </w:pPr>
            <w:r>
              <w:t xml:space="preserve">185ms</w:t>
            </w:r>
          </w:p>
        </w:tc>
        <w:tc>
          <w:tcPr/>
          <w:p>
            <w:pPr>
              <w:pStyle w:val="Compact"/>
              <w:jc w:val="left"/>
            </w:pPr>
            <w:r>
              <w:t xml:space="preserve">PASS</w:t>
            </w:r>
          </w:p>
        </w:tc>
      </w:tr>
      <w:tr>
        <w:tc>
          <w:tcPr/>
          <w:p>
            <w:pPr>
              <w:pStyle w:val="Compact"/>
              <w:jc w:val="left"/>
            </w:pPr>
            <w:r>
              <w:t xml:space="preserve">Throughput</w:t>
            </w:r>
          </w:p>
        </w:tc>
        <w:tc>
          <w:tcPr/>
          <w:p>
            <w:pPr>
              <w:pStyle w:val="Compact"/>
              <w:jc w:val="left"/>
            </w:pPr>
            <w:r>
              <w:t xml:space="preserve">10k req/s</w:t>
            </w:r>
          </w:p>
        </w:tc>
        <w:tc>
          <w:tcPr/>
          <w:p>
            <w:pPr>
              <w:pStyle w:val="Compact"/>
              <w:jc w:val="left"/>
            </w:pPr>
            <w:r>
              <w:t xml:space="preserve">12.5k req/s</w:t>
            </w:r>
          </w:p>
        </w:tc>
        <w:tc>
          <w:tcPr/>
          <w:p>
            <w:pPr>
              <w:pStyle w:val="Compact"/>
              <w:jc w:val="left"/>
            </w:pPr>
            <w:r>
              <w:t xml:space="preserve">PASS</w:t>
            </w:r>
          </w:p>
        </w:tc>
      </w:tr>
      <w:tr>
        <w:tc>
          <w:tcPr/>
          <w:p>
            <w:pPr>
              <w:pStyle w:val="Compact"/>
              <w:jc w:val="left"/>
            </w:pPr>
            <w:r>
              <w:t xml:space="preserve">Fault Recovery Time</w:t>
            </w:r>
          </w:p>
        </w:tc>
        <w:tc>
          <w:tcPr/>
          <w:p>
            <w:pPr>
              <w:pStyle w:val="Compact"/>
              <w:jc w:val="left"/>
            </w:pPr>
            <w:r>
              <w:t xml:space="preserve">&lt; 5s</w:t>
            </w:r>
          </w:p>
        </w:tc>
        <w:tc>
          <w:tcPr/>
          <w:p>
            <w:pPr>
              <w:pStyle w:val="Compact"/>
              <w:jc w:val="left"/>
            </w:pPr>
            <w:r>
              <w:t xml:space="preserve">4.2s</w:t>
            </w:r>
          </w:p>
        </w:tc>
        <w:tc>
          <w:tcPr/>
          <w:p>
            <w:pPr>
              <w:pStyle w:val="Compact"/>
              <w:jc w:val="left"/>
            </w:pPr>
            <w:r>
              <w:t xml:space="preserve">PASS</w:t>
            </w:r>
          </w:p>
        </w:tc>
      </w:tr>
      <w:tr>
        <w:tc>
          <w:tcPr/>
          <w:p>
            <w:pPr>
              <w:pStyle w:val="Compact"/>
              <w:jc w:val="left"/>
            </w:pPr>
            <w:r>
              <w:t xml:space="preserve">Data Consistency</w:t>
            </w:r>
          </w:p>
        </w:tc>
        <w:tc>
          <w:tcPr/>
          <w:p>
            <w:pPr>
              <w:pStyle w:val="Compact"/>
              <w:jc w:val="left"/>
            </w:pPr>
            <w:r>
              <w:t xml:space="preserve">Eventual</w:t>
            </w:r>
          </w:p>
        </w:tc>
        <w:tc>
          <w:tcPr/>
          <w:p>
            <w:pPr>
              <w:pStyle w:val="Compact"/>
              <w:jc w:val="left"/>
            </w:pPr>
            <w:r>
              <w:t xml:space="preserve">Eventual</w:t>
            </w:r>
          </w:p>
        </w:tc>
        <w:tc>
          <w:tcPr/>
          <w:p>
            <w:pPr>
              <w:pStyle w:val="Compact"/>
              <w:jc w:val="left"/>
            </w:pPr>
            <w:r>
              <w:t xml:space="preserve">REVIEW</w:t>
            </w:r>
          </w:p>
        </w:tc>
      </w:tr>
    </w:tbl>
    <w:p>
      <w:pPr>
        <w:pStyle w:val="BodyText"/>
      </w:pPr>
      <w:r>
        <w:t xml:space="preserve">The "Review" status on Data Consistency indicates that while the Actor model provides eventual consistency, specific financial transactions for the Federal District may require stronger consistency guarantees. A hybrid approach is recommended.</w:t>
      </w:r>
    </w:p>
    <w:bookmarkEnd w:id="29"/>
    <w:bookmarkStart w:id="30" w:name="recommendations"/>
    <w:p>
      <w:pPr>
        <w:pStyle w:val="Heading2"/>
      </w:pPr>
      <w:r>
        <w:t xml:space="preserve">6. Recommendations</w:t>
      </w:r>
    </w:p>
    <w:p>
      <w:pPr>
        <w:numPr>
          <w:ilvl w:val="0"/>
          <w:numId w:val="1002"/>
        </w:numPr>
        <w:pStyle w:val="Compact"/>
      </w:pPr>
      <w:r>
        <w:rPr>
          <w:bCs/>
          <w:b/>
        </w:rPr>
        <w:t xml:space="preserve">Implement Geographic Constraints:</w:t>
      </w:r>
      <w:r>
        <w:t xml:space="preserve"> </w:t>
      </w:r>
      <w:r>
        <w:t xml:space="preserve">Enforce strict placement policies for Actors handling citizen data to ensure compliance with LGPD within</w:t>
      </w:r>
      <w:r>
        <w:t xml:space="preserve"> </w:t>
      </w:r>
      <w:r>
        <w:rPr>
          <w:bCs/>
          <w:b/>
        </w:rPr>
        <w:t xml:space="preserve">Brazil Brasília</w:t>
      </w:r>
      <w:r>
        <w:t xml:space="preserve">.</w:t>
      </w:r>
    </w:p>
    <w:p>
      <w:pPr>
        <w:numPr>
          <w:ilvl w:val="0"/>
          <w:numId w:val="1002"/>
        </w:numPr>
        <w:pStyle w:val="Compact"/>
      </w:pPr>
      <w:r>
        <w:rPr>
          <w:bCs/>
          <w:b/>
        </w:rPr>
        <w:t xml:space="preserve">Enhance Monitoring:</w:t>
      </w:r>
      <w:r>
        <w:t xml:space="preserve"> </w:t>
      </w:r>
      <w:r>
        <w:t xml:space="preserve">Deploy distributed tracing tools compatible with the Actor framework to visualize message flows between services.</w:t>
      </w:r>
    </w:p>
    <w:p>
      <w:pPr>
        <w:numPr>
          <w:ilvl w:val="0"/>
          <w:numId w:val="1002"/>
        </w:numPr>
        <w:pStyle w:val="Compact"/>
      </w:pPr>
      <w:r>
        <w:rPr>
          <w:bCs/>
          <w:b/>
        </w:rPr>
        <w:t xml:space="preserve">Training:</w:t>
      </w:r>
      <w:r>
        <w:t xml:space="preserve"> </w:t>
      </w:r>
      <w:r>
        <w:t xml:space="preserve">Conduct workshops for local developers in Brasília on Actor-based design patterns to ensure long-term maintainability.</w:t>
      </w:r>
    </w:p>
    <w:p>
      <w:pPr>
        <w:numPr>
          <w:ilvl w:val="0"/>
          <w:numId w:val="1002"/>
        </w:numPr>
        <w:pStyle w:val="Compact"/>
      </w:pPr>
      <w:r>
        <w:rPr>
          <w:bCs/>
          <w:b/>
        </w:rPr>
        <w:t xml:space="preserve">Disaster Recovery:</w:t>
      </w:r>
      <w:r>
        <w:t xml:space="preserve"> </w:t>
      </w:r>
      <w:r>
        <w:t xml:space="preserve">Establish a secondary cluster in a different availability zone within the region to ensure business continuity.</w:t>
      </w:r>
    </w:p>
    <w:bookmarkEnd w:id="30"/>
    <w:bookmarkStart w:id="31" w:name="conclusion"/>
    <w:p>
      <w:pPr>
        <w:pStyle w:val="Heading2"/>
      </w:pPr>
      <w:r>
        <w:t xml:space="preserve">7. Conclusion</w:t>
      </w:r>
    </w:p>
    <w:p>
      <w:pPr>
        <w:pStyle w:val="FirstParagraph"/>
      </w:pPr>
      <w:r>
        <w:t xml:space="preserve">The</w:t>
      </w:r>
      <w:r>
        <w:t xml:space="preserve"> </w:t>
      </w:r>
      <w:r>
        <w:rPr>
          <w:bCs/>
          <w:b/>
        </w:rPr>
        <w:t xml:space="preserve">Actor</w:t>
      </w:r>
      <w:r>
        <w:t xml:space="preserve"> </w:t>
      </w:r>
      <w:r>
        <w:t xml:space="preserve">framework represents a robust, scalable, and modern solution for the digital transformation needs of</w:t>
      </w:r>
      <w:r>
        <w:t xml:space="preserve"> </w:t>
      </w:r>
      <w:r>
        <w:rPr>
          <w:bCs/>
          <w:b/>
        </w:rPr>
        <w:t xml:space="preserve">Brazil Brasília</w:t>
      </w:r>
      <w:r>
        <w:t xml:space="preserve">. Its ability to handle high concurrency and distributed state makes it ideal for the city's growing smart infrastructure. With the recommended adjustments regarding data sovereignty and consistency models, the system is approved for the next phase of implementation.</w:t>
      </w:r>
    </w:p>
    <w:bookmarkEnd w:id="31"/>
    <w:p>
      <w:pPr>
        <w:pStyle w:val="BodyText"/>
      </w:pPr>
      <w:r>
        <w:t xml:space="preserve">© 2023 Peer Review Committee. All rights reserved. Document generated for internal use in Brazil Brasília.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Actor Framework Deployment in Brazil Brasília</dc:title>
  <dc:creator/>
  <dc:language>en</dc:language>
  <cp:keywords/>
  <dcterms:created xsi:type="dcterms:W3CDTF">2026-10-10T04:49:30Z</dcterms:created>
  <dcterms:modified xsi:type="dcterms:W3CDTF">2026-10-10T04:49:30Z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