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Evaluation of Actor-Based Architecture for High-Performance Systems</w:t>
      </w:r>
    </w:p>
    <w:p>
      <w:pPr>
        <w:pStyle w:val="BodyText"/>
      </w:pPr>
      <w:r>
        <w:rPr>
          <w:bCs/>
          <w:b/>
        </w:rPr>
        <w:t xml:space="preserve">Target Deployment Region:</w:t>
      </w:r>
      <w:r>
        <w:t xml:space="preserve"> </w:t>
      </w:r>
      <w:r>
        <w:t xml:space="preserve">Germany Frankfurt (FRA)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Distributed Systems Engineering Team</w:t>
      </w:r>
    </w:p>
    <w:bookmarkEnd w:id="20"/>
    <w:bookmarkStart w:id="21" w:name="executive-summary"/>
    <w:p>
      <w:pPr>
        <w:pStyle w:val="Heading2"/>
      </w:pPr>
      <w:r>
        <w:t xml:space="preserve">1. Executive Summary</w:t>
      </w:r>
    </w:p>
    <w:p>
      <w:pPr>
        <w:pStyle w:val="FirstParagraph"/>
      </w:pPr>
      <w:r>
        <w:t xml:space="preserve">This Peer Review Report provides a comprehensive technical assessment of the proposed implementation of an Actor-based concurrency model for a new distributed financial processing system. The primary objective of this review is to validate the architectural suitability of the Actor model specifically for deployment within the data center infrastructure located in Germany Frankfurt. Given Frankfurt's status as a critical hub for European finance and cloud connectivity, the system must adhere to strict latency requirements, data sovereignty regulations, and high-availability standards.</w:t>
      </w:r>
    </w:p>
    <w:p>
      <w:pPr>
        <w:pStyle w:val="BodyText"/>
      </w:pPr>
      <w:r>
        <w:t xml:space="preserve">The review panel concludes that the Actor model is highly appropriate for this use case, provided that specific configurations regarding network partitioning and state persistence are optimized for the Frankfurt regional topology. The report details the findings regarding scalability, fault tolerance, and regulatory compliance within the German jurisdiction.</w:t>
      </w:r>
    </w:p>
    <w:bookmarkEnd w:id="21"/>
    <w:bookmarkStart w:id="22" w:name="introduction-and-scope"/>
    <w:p>
      <w:pPr>
        <w:pStyle w:val="Heading2"/>
      </w:pPr>
      <w:r>
        <w:t xml:space="preserve">2. Introduction and Scope</w:t>
      </w:r>
    </w:p>
    <w:p>
      <w:pPr>
        <w:pStyle w:val="FirstParagraph"/>
      </w:pPr>
      <w:r>
        <w:t xml:space="preserve">The proposed system aims to handle high-throughput transactional data using an Actor-oriented programming paradigm. In this model, actors are the fundamental units of computation, communicating solely via asynchronous message passing. This approach eliminates shared state, thereby reducing the complexity of synchronization in concurrent environments.</w:t>
      </w:r>
    </w:p>
    <w:p>
      <w:pPr>
        <w:pStyle w:val="BodyText"/>
      </w:pPr>
      <w:r>
        <w:t xml:space="preserve">The scope of this Peer Review Report is limited to the technical viability of the Actor framework in the context of the Germany Frankfurt data center environment. Key considerations include:</w:t>
      </w:r>
    </w:p>
    <w:p>
      <w:pPr>
        <w:numPr>
          <w:ilvl w:val="0"/>
          <w:numId w:val="1001"/>
        </w:numPr>
        <w:pStyle w:val="Compact"/>
      </w:pPr>
      <w:r>
        <w:t xml:space="preserve">Network latency characteristics within the Frankfurt Internet Exchange (DE-CIX).</w:t>
      </w:r>
    </w:p>
    <w:p>
      <w:pPr>
        <w:numPr>
          <w:ilvl w:val="0"/>
          <w:numId w:val="1001"/>
        </w:numPr>
        <w:pStyle w:val="Compact"/>
      </w:pPr>
      <w:r>
        <w:t xml:space="preserve">Compliance with the General Data Protection Regulation (GDPR) regarding data residency.</w:t>
      </w:r>
    </w:p>
    <w:p>
      <w:pPr>
        <w:numPr>
          <w:ilvl w:val="0"/>
          <w:numId w:val="1001"/>
        </w:numPr>
        <w:pStyle w:val="Compact"/>
      </w:pPr>
      <w:r>
        <w:t xml:space="preserve">Integration with existing local infrastructure providers.</w:t>
      </w:r>
    </w:p>
    <w:p>
      <w:pPr>
        <w:numPr>
          <w:ilvl w:val="0"/>
          <w:numId w:val="1001"/>
        </w:numPr>
        <w:pStyle w:val="Compact"/>
      </w:pPr>
      <w:r>
        <w:t xml:space="preserve">Performance benchmarks under load conditions typical of the European banking sector.</w:t>
      </w:r>
    </w:p>
    <w:bookmarkEnd w:id="22"/>
    <w:bookmarkStart w:id="25"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The Actor model offers significant advantages for the high-concurrency demands expected in the Frankfurt market. By encapsulating state and behavior within individual actors, the system can scale horizontally across multiple nodes without the risk of race conditions. The review team analyzed the proposed cluster configuration and determined that the Actor framework's ability to distribute workloads dynamically aligns well with the elastic scaling capabilities of cloud providers operating in Germany Frankfurt.</w:t>
      </w:r>
    </w:p>
    <w:p>
      <w:pPr>
        <w:pStyle w:val="BodyText"/>
      </w:pPr>
      <w:r>
        <w:t xml:space="preserve">Specifically, the lightweight nature of actors allows for the creation of millions of concurrent instances on a single server, maximizing the utilization of the high-density compute clusters available in the Frankfurt region. This is crucial for handling peak transaction volumes during European market hours.</w:t>
      </w:r>
    </w:p>
    <w:bookmarkEnd w:id="23"/>
    <w:bookmarkStart w:id="24" w:name="fault-tolerance-and-supervision"/>
    <w:p>
      <w:pPr>
        <w:pStyle w:val="Heading3"/>
      </w:pPr>
      <w:r>
        <w:t xml:space="preserve">3.2 Fault Tolerance and Supervision</w:t>
      </w:r>
    </w:p>
    <w:p>
      <w:pPr>
        <w:pStyle w:val="FirstParagraph"/>
      </w:pPr>
      <w:r>
        <w:t xml:space="preserve">A critical aspect of the review was the evaluation of the Actor model's supervision hierarchies. The "let it crash" philosophy, inherent to many Actor implementations, allows the system to recover gracefully from failures. In the context of Germany Frankfurt, where uptime is paramount for financial services, this feature is highly beneficial.</w:t>
      </w:r>
    </w:p>
    <w:p>
      <w:pPr>
        <w:pStyle w:val="BodyText"/>
      </w:pPr>
      <w:r>
        <w:t xml:space="preserve">The report recommends implementing a robust supervision strategy where parent actors monitor child actors. If a child actor fails due to an unexpected error, the parent can restart it, preserving the system's overall integrity. This mechanism ensures that transient network issues or hardware faults within the Frankfurt data center do not result in catastrophic system failure.</w:t>
      </w:r>
    </w:p>
    <w:bookmarkEnd w:id="24"/>
    <w:bookmarkEnd w:id="25"/>
    <w:bookmarkStart w:id="28" w:name="X59ff693f77d6509275e24829d1f334995610088"/>
    <w:p>
      <w:pPr>
        <w:pStyle w:val="Heading2"/>
      </w:pPr>
      <w:r>
        <w:t xml:space="preserve">4. Regional Considerations: Germany Frankfurt</w:t>
      </w:r>
    </w:p>
    <w:p>
      <w:pPr>
        <w:pStyle w:val="FirstParagraph"/>
      </w:pPr>
      <w:r>
        <w:rPr>
          <w:bCs/>
          <w:b/>
        </w:rPr>
        <w:t xml:space="preserve">Key Finding:</w:t>
      </w:r>
      <w:r>
        <w:t xml:space="preserve"> </w:t>
      </w:r>
      <w:r>
        <w:t xml:space="preserve">The deployment in Germany Frankfurt requires strict adherence to data sovereignty laws. The Actor model's distributed nature must be configured to ensure that stateful actors remain within the designated geographic boundaries.</w:t>
      </w:r>
    </w:p>
    <w:bookmarkStart w:id="26" w:name="data-residency-and-gdpr-compliance"/>
    <w:p>
      <w:pPr>
        <w:pStyle w:val="Heading3"/>
      </w:pPr>
      <w:r>
        <w:t xml:space="preserve">4.1 Data Residency and GDPR Compliance</w:t>
      </w:r>
    </w:p>
    <w:p>
      <w:pPr>
        <w:pStyle w:val="FirstParagraph"/>
      </w:pPr>
      <w:r>
        <w:t xml:space="preserve">One of the most significant challenges identified in this Peer Review Report is ensuring that the distributed nature of the Actor system does not inadvertently violate data residency requirements. Under GDPR, personal data of EU citizens must be processed within the EU.</w:t>
      </w:r>
    </w:p>
    <w:p>
      <w:pPr>
        <w:pStyle w:val="BodyText"/>
      </w:pPr>
      <w:r>
        <w:t xml:space="preserve">The review team advises implementing location-aware actor placement strategies. This involves configuring the Actor system to pin specific actors or clusters to the Germany Frankfurt region. This ensures that sensitive data never leaves the jurisdiction, even during failover scenarios. The proposed architecture includes a "region-lock" feature for stateful actors, which was deemed sufficient to meet compliance standards.</w:t>
      </w:r>
    </w:p>
    <w:bookmarkEnd w:id="26"/>
    <w:bookmarkStart w:id="27" w:name="network-latency-and-connectivity"/>
    <w:p>
      <w:pPr>
        <w:pStyle w:val="Heading3"/>
      </w:pPr>
      <w:r>
        <w:t xml:space="preserve">4.2 Network Latency and Connectivity</w:t>
      </w:r>
    </w:p>
    <w:p>
      <w:pPr>
        <w:pStyle w:val="FirstParagraph"/>
      </w:pPr>
      <w:r>
        <w:t xml:space="preserve">Germany Frankfurt is home to DE-CIX, one of the largest internet exchange points in the world. This provides exceptional connectivity and low latency for local traffic. However, the Actor model relies heavily on message passing, which can be sensitive to network jitter.</w:t>
      </w:r>
    </w:p>
    <w:p>
      <w:pPr>
        <w:pStyle w:val="BodyText"/>
      </w:pPr>
      <w:r>
        <w:t xml:space="preserve">The review found that while local latency within Frankfurt is negligible, communication between actors in Frankfurt and those in other European regions (e.g., London or Paris) may introduce latency. To mitigate this, the report recommends optimizing message serialization formats and implementing asynchronous communication patterns to prevent blocking. The Actor model's inherent asynchronicity is well-suited to handle these network variances effectively.</w:t>
      </w:r>
    </w:p>
    <w:bookmarkEnd w:id="27"/>
    <w:bookmarkEnd w:id="28"/>
    <w:bookmarkStart w:id="29" w:name="risk-assessment-and-mitigation"/>
    <w:p>
      <w:pPr>
        <w:pStyle w:val="Heading2"/>
      </w:pPr>
      <w:r>
        <w:t xml:space="preserve">5. Risk Assessment and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Actor State Loss</w:t>
            </w:r>
          </w:p>
        </w:tc>
        <w:tc>
          <w:tcPr/>
          <w:p>
            <w:pPr>
              <w:pStyle w:val="Compact"/>
              <w:jc w:val="left"/>
            </w:pPr>
            <w:r>
              <w:t xml:space="preserve">High</w:t>
            </w:r>
          </w:p>
        </w:tc>
        <w:tc>
          <w:tcPr/>
          <w:p>
            <w:pPr>
              <w:pStyle w:val="Compact"/>
              <w:jc w:val="left"/>
            </w:pPr>
            <w:r>
              <w:t xml:space="preserve">Implement persistent actors with write-ahead logs stored on local Frankfurt SSD arrays.</w:t>
            </w:r>
          </w:p>
        </w:tc>
      </w:tr>
      <w:tr>
        <w:tc>
          <w:tcPr/>
          <w:p>
            <w:pPr>
              <w:pStyle w:val="Compact"/>
              <w:jc w:val="left"/>
            </w:pPr>
            <w:r>
              <w:t xml:space="preserve">Network Partition</w:t>
            </w:r>
          </w:p>
        </w:tc>
        <w:tc>
          <w:tcPr/>
          <w:p>
            <w:pPr>
              <w:pStyle w:val="Compact"/>
              <w:jc w:val="left"/>
            </w:pPr>
            <w:r>
              <w:t xml:space="preserve">Medium</w:t>
            </w:r>
          </w:p>
        </w:tc>
        <w:tc>
          <w:tcPr/>
          <w:p>
            <w:pPr>
              <w:pStyle w:val="Compact"/>
              <w:jc w:val="left"/>
            </w:pPr>
            <w:r>
              <w:t xml:space="preserve">Utilize split-brain resolution protocols tailored for the Frankfurt cluster topology.</w:t>
            </w:r>
          </w:p>
        </w:tc>
      </w:tr>
      <w:tr>
        <w:tc>
          <w:tcPr/>
          <w:p>
            <w:pPr>
              <w:pStyle w:val="Compact"/>
              <w:jc w:val="left"/>
            </w:pPr>
            <w:r>
              <w:t xml:space="preserve">Regulatory Non-Compliance</w:t>
            </w:r>
          </w:p>
        </w:tc>
        <w:tc>
          <w:tcPr/>
          <w:p>
            <w:pPr>
              <w:pStyle w:val="Compact"/>
              <w:jc w:val="left"/>
            </w:pPr>
            <w:r>
              <w:t xml:space="preserve">Critical</w:t>
            </w:r>
          </w:p>
        </w:tc>
        <w:tc>
          <w:tcPr/>
          <w:p>
            <w:pPr>
              <w:pStyle w:val="Compact"/>
              <w:jc w:val="left"/>
            </w:pPr>
            <w:r>
              <w:t xml:space="preserve">Enforce strict actor placement policies to ensure data remains within Germany Frankfurt.</w:t>
            </w:r>
          </w:p>
        </w:tc>
      </w:tr>
      <w:tr>
        <w:tc>
          <w:tcPr/>
          <w:p>
            <w:pPr>
              <w:pStyle w:val="Compact"/>
              <w:jc w:val="left"/>
            </w:pPr>
            <w:r>
              <w:t xml:space="preserve">Message Backpressure</w:t>
            </w:r>
          </w:p>
        </w:tc>
        <w:tc>
          <w:tcPr/>
          <w:p>
            <w:pPr>
              <w:pStyle w:val="Compact"/>
              <w:jc w:val="left"/>
            </w:pPr>
            <w:r>
              <w:t xml:space="preserve">Medium</w:t>
            </w:r>
          </w:p>
        </w:tc>
        <w:tc>
          <w:tcPr/>
          <w:p>
            <w:pPr>
              <w:pStyle w:val="Compact"/>
              <w:jc w:val="left"/>
            </w:pPr>
            <w:r>
              <w:t xml:space="preserve">Configure adaptive backpressure mechanisms to prevent actor mailbox overflow during peak loads.</w:t>
            </w:r>
          </w:p>
        </w:tc>
      </w:tr>
    </w:tbl>
    <w:bookmarkEnd w:id="29"/>
    <w:bookmarkStart w:id="30" w:name="conclusion-and-recommendations"/>
    <w:p>
      <w:pPr>
        <w:pStyle w:val="Heading2"/>
      </w:pPr>
      <w:r>
        <w:t xml:space="preserve">6. Conclusion and Recommendations</w:t>
      </w:r>
    </w:p>
    <w:p>
      <w:pPr>
        <w:pStyle w:val="FirstParagraph"/>
      </w:pPr>
      <w:r>
        <w:t xml:space="preserve">This Peer Review Report affirms that the Actor-based architecture is a robust and scalable solution for the proposed system deployment in Germany Frankfurt. The model's strengths in concurrency, fault tolerance, and distributed computing align perfectly with the technical demands of the region's financial infrastructure.</w:t>
      </w:r>
    </w:p>
    <w:p>
      <w:pPr>
        <w:pStyle w:val="BodyText"/>
      </w:pPr>
      <w:r>
        <w:t xml:space="preserve">However, success depends on rigorous implementation of the recommendations outlined above, particularly regarding data residency and network optimization. The review team recommends proceeding with the development phase, with a focus on creating comprehensive monitoring tools to track actor performance and compliance metrics within the Frankfurt environment.</w:t>
      </w:r>
    </w:p>
    <w:p>
      <w:pPr>
        <w:pStyle w:val="BodyText"/>
      </w:pPr>
      <w:r>
        <w:t xml:space="preserve">By leveraging the Actor model effectively, the organization can achieve a high-performance, compliant, and resilient system that meets the exacting standards of the Germany Frankfurt market.</w:t>
      </w:r>
    </w:p>
    <w:bookmarkEnd w:id="30"/>
    <w:p>
      <w:pPr>
        <w:pStyle w:val="BodyText"/>
      </w:pPr>
      <w:r>
        <w:rPr>
          <w:bCs/>
          <w:b/>
        </w:rPr>
        <w:t xml:space="preserve">Document Control:</w:t>
      </w:r>
      <w:r>
        <w:t xml:space="preserve"> </w:t>
      </w:r>
      <w:r>
        <w:t xml:space="preserve">This Peer Review Report is confidential and intended solely for the use of the engineering and compliance teams involved in the Actor framework deployment project in Germany Frankfurt. Unauthorized distribution is prohibited.</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Germany Frankfurt</dc:title>
  <dc:creator/>
  <dc:language>en</dc:language>
  <cp:keywords/>
  <dcterms:created xsi:type="dcterms:W3CDTF">2026-10-10T04:24:11Z</dcterms:created>
  <dcterms:modified xsi:type="dcterms:W3CDTF">2026-10-10T04:24:11Z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