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a5434a3c5c3e1f15d546f9b6b675448be5397ff"/>
    <w:p>
      <w:pPr>
        <w:pStyle w:val="Heading1"/>
      </w:pPr>
      <w:r>
        <w:t xml:space="preserve">Peer Review Report: Actor Framework Implementation</w:t>
      </w:r>
    </w:p>
    <w:p>
      <w:pPr>
        <w:pStyle w:val="FirstParagraph"/>
      </w:pPr>
      <w:r>
        <w:rPr>
          <w:bCs/>
          <w:b/>
        </w:rPr>
        <w:t xml:space="preserve">Project Context:</w:t>
      </w:r>
      <w:r>
        <w:t xml:space="preserve"> </w:t>
      </w:r>
      <w:r>
        <w:t xml:space="preserve">Distributed Microservices Architecture for Fintech Platform</w:t>
      </w:r>
    </w:p>
    <w:p>
      <w:pPr>
        <w:pStyle w:val="BodyText"/>
      </w:pPr>
      <w:r>
        <w:rPr>
          <w:bCs/>
          <w:b/>
        </w:rPr>
        <w:t xml:space="preserve">Location:</w:t>
      </w:r>
      <w:r>
        <w:t xml:space="preserve"> </w:t>
      </w:r>
      <w:r>
        <w:t xml:space="preserve">Israel Tel Aviv, Innovation District</w:t>
      </w:r>
    </w:p>
    <w:p>
      <w:pPr>
        <w:pStyle w:val="BodyText"/>
      </w:pPr>
      <w:r>
        <w:rPr>
          <w:bCs/>
          <w:b/>
        </w:rPr>
        <w:t xml:space="preserve">Framework:</w:t>
      </w:r>
      <w:r>
        <w:t xml:space="preserve"> </w:t>
      </w:r>
      <w:r>
        <w:t xml:space="preserve">Actor Model (Akka.NET / Orleans Implementation)</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Software Architect, Distributed Systems Team</w:t>
      </w:r>
    </w:p>
    <w:bookmarkEnd w:id="20"/>
    <w:bookmarkStart w:id="21" w:name="executive-summary"/>
    <w:p>
      <w:pPr>
        <w:pStyle w:val="Heading2"/>
      </w:pPr>
      <w:r>
        <w:t xml:space="preserve">1. Executive Summary</w:t>
      </w:r>
    </w:p>
    <w:p>
      <w:pPr>
        <w:pStyle w:val="FirstParagraph"/>
      </w:pPr>
      <w:r>
        <w:t xml:space="preserve">This Peer Review Report evaluates the architectural decision to adopt the</w:t>
      </w:r>
      <w:r>
        <w:t xml:space="preserve"> </w:t>
      </w:r>
      <w:r>
        <w:rPr>
          <w:bCs/>
          <w:b/>
        </w:rPr>
        <w:t xml:space="preserve">Actor</w:t>
      </w:r>
      <w:r>
        <w:t xml:space="preserve"> </w:t>
      </w:r>
      <w:r>
        <w:t xml:space="preserve">model for the core transaction processing engine of our new fintech platform, developed within our engineering hub in</w:t>
      </w:r>
      <w:r>
        <w:t xml:space="preserve"> </w:t>
      </w:r>
      <w:r>
        <w:rPr>
          <w:bCs/>
          <w:b/>
        </w:rPr>
        <w:t xml:space="preserve">Israel Tel Aviv</w:t>
      </w:r>
      <w:r>
        <w:t xml:space="preserve">. The review focuses on the suitability of the Actor paradigm for handling high-concurrency financial transactions, the alignment with local talent availability, and the operational implications for our infrastructure.</w:t>
      </w:r>
    </w:p>
    <w:p>
      <w:pPr>
        <w:pStyle w:val="BodyText"/>
      </w:pPr>
      <w:r>
        <w:t xml:space="preserve">The consensus among the review panel is that the Actor model offers significant advantages in terms of scalability and fault tolerance, which are critical for the competitive landscape in Tel Aviv's tech sector. However, the complexity of debugging and state management requires rigorous adherence to best practices.</w:t>
      </w:r>
    </w:p>
    <w:bookmarkEnd w:id="21"/>
    <w:bookmarkStart w:id="25" w:name="technical-evaluation-of-the-actor-model"/>
    <w:p>
      <w:pPr>
        <w:pStyle w:val="Heading2"/>
      </w:pPr>
      <w:r>
        <w:t xml:space="preserve">2. Technical Evaluation of the Actor Model</w:t>
      </w:r>
    </w:p>
    <w:bookmarkStart w:id="22" w:name="concurrency-and-performance"/>
    <w:p>
      <w:pPr>
        <w:pStyle w:val="Heading3"/>
      </w:pPr>
      <w:r>
        <w:t xml:space="preserve">2.1 Concurrency and Performance</w:t>
      </w:r>
    </w:p>
    <w:p>
      <w:pPr>
        <w:pStyle w:val="FirstParagraph"/>
      </w:pPr>
      <w:r>
        <w:t xml:space="preserve">The primary driver for selecting the</w:t>
      </w:r>
      <w:r>
        <w:t xml:space="preserve"> </w:t>
      </w:r>
      <w:r>
        <w:rPr>
          <w:bCs/>
          <w:b/>
        </w:rPr>
        <w:t xml:space="preserve">Actor</w:t>
      </w:r>
      <w:r>
        <w:t xml:space="preserve"> </w:t>
      </w:r>
      <w:r>
        <w:t xml:space="preserve">model is its ability to handle massive concurrency without the traditional pitfalls of shared memory and locks. In the context of our application, which must process thousands of transactions per second, the Actor model's message-passing architecture ensures that state mutations are isolated. Each Actor processes one message at a time, eliminating race conditions inherently.</w:t>
      </w:r>
    </w:p>
    <w:p>
      <w:pPr>
        <w:pStyle w:val="BodyText"/>
      </w:pPr>
      <w:r>
        <w:t xml:space="preserve">For a system operating in</w:t>
      </w:r>
      <w:r>
        <w:t xml:space="preserve"> </w:t>
      </w:r>
      <w:r>
        <w:rPr>
          <w:bCs/>
          <w:b/>
        </w:rPr>
        <w:t xml:space="preserve">Israel Tel Aviv</w:t>
      </w:r>
      <w:r>
        <w:t xml:space="preserve">, where low-latency trading and real-time data processing are paramount, this architectural choice is technically sound. The non-blocking nature of Actors allows for efficient CPU utilization, which is essential for maintaining high throughput during peak market hours.</w:t>
      </w:r>
    </w:p>
    <w:bookmarkEnd w:id="22"/>
    <w:bookmarkStart w:id="23" w:name="fault-tolerance-and-resilience"/>
    <w:p>
      <w:pPr>
        <w:pStyle w:val="Heading3"/>
      </w:pPr>
      <w:r>
        <w:t xml:space="preserve">2.2 Fault Tolerance and Resilience</w:t>
      </w:r>
    </w:p>
    <w:p>
      <w:pPr>
        <w:pStyle w:val="FirstParagraph"/>
      </w:pPr>
      <w:r>
        <w:t xml:space="preserve">The "Let it Crash" philosophy inherent in many Actor frameworks (such as Akka) is particularly relevant for our use case. By implementing supervisor hierarchies, the system can automatically restart failed Actors without bringing down the entire service. This aligns with our requirement for 99.99% uptime.</w:t>
      </w:r>
    </w:p>
    <w:p>
      <w:pPr>
        <w:pStyle w:val="BodyText"/>
      </w:pPr>
      <w:r>
        <w:t xml:space="preserve">In a distributed environment, network partitions are inevitable. The Actor model's design facilitates the implementation of patterns like the Circuit Breaker and Retry policies, ensuring that transient failures do not cascade. This resilience is crucial for maintaining trust in a financial platform based in a major global hub like Tel Aviv.</w:t>
      </w:r>
    </w:p>
    <w:bookmarkEnd w:id="23"/>
    <w:bookmarkStart w:id="24" w:name="state-management"/>
    <w:p>
      <w:pPr>
        <w:pStyle w:val="Heading3"/>
      </w:pPr>
      <w:r>
        <w:t xml:space="preserve">2.3 State Management</w:t>
      </w:r>
    </w:p>
    <w:p>
      <w:pPr>
        <w:pStyle w:val="FirstParagraph"/>
      </w:pPr>
      <w:r>
        <w:t xml:space="preserve">One of the challenges identified during the review is the management of Actor state. While Actors encapsulate state, persisting this state across restarts requires careful integration with external storage systems (e.g., Event Sourcing with Cassandra or PostgreSQL). The review team recommends implementing a robust snapshotting strategy to prevent replay latency from becoming a bottleneck.</w:t>
      </w:r>
    </w:p>
    <w:bookmarkEnd w:id="24"/>
    <w:bookmarkEnd w:id="25"/>
    <w:bookmarkStart w:id="28" w:name="X594939a023392fe1706a81326d97b62c57b6f29"/>
    <w:p>
      <w:pPr>
        <w:pStyle w:val="Heading2"/>
      </w:pPr>
      <w:r>
        <w:t xml:space="preserve">3. Contextual Analysis: Israel Tel Aviv Ecosystem</w:t>
      </w:r>
    </w:p>
    <w:bookmarkStart w:id="26" w:name="talent-pool-and-expertise"/>
    <w:p>
      <w:pPr>
        <w:pStyle w:val="Heading3"/>
      </w:pPr>
      <w:r>
        <w:t xml:space="preserve">3.1 Talent Pool and Expertise</w:t>
      </w:r>
    </w:p>
    <w:p>
      <w:pPr>
        <w:pStyle w:val="FirstParagraph"/>
      </w:pPr>
      <w:r>
        <w:t xml:space="preserve">A critical factor in this Peer Review Report is the availability of skilled developers in</w:t>
      </w:r>
      <w:r>
        <w:t xml:space="preserve"> </w:t>
      </w:r>
      <w:r>
        <w:rPr>
          <w:bCs/>
          <w:b/>
        </w:rPr>
        <w:t xml:space="preserve">Israel Tel Aviv</w:t>
      </w:r>
      <w:r>
        <w:t xml:space="preserve">. Tel Aviv is renowned for its strong engineering culture, particularly in backend development and distributed systems. However, the Actor model is a specialized paradigm.</w:t>
      </w:r>
    </w:p>
    <w:p>
      <w:pPr>
        <w:pStyle w:val="BodyText"/>
      </w:pPr>
      <w:r>
        <w:t xml:space="preserve">The review indicates that while there is a strong pool of .NET and Java developers in Tel Aviv, expertise in Actor-based frameworks (like Akka.NET or Orleans) is niche. Therefore, the project must allocate budget for training and potentially hiring senior consultants to mentor the team. The local tech community is vibrant, and leveraging meetups and conferences in Tel Aviv can help bridge this knowledge gap.</w:t>
      </w:r>
    </w:p>
    <w:bookmarkEnd w:id="26"/>
    <w:bookmarkStart w:id="27" w:name="infrastructure-and-connectivity"/>
    <w:p>
      <w:pPr>
        <w:pStyle w:val="Heading3"/>
      </w:pPr>
      <w:r>
        <w:t xml:space="preserve">3.2 Infrastructure and Connectivity</w:t>
      </w:r>
    </w:p>
    <w:p>
      <w:pPr>
        <w:pStyle w:val="FirstParagraph"/>
      </w:pPr>
      <w:r>
        <w:t xml:space="preserve">The infrastructure in</w:t>
      </w:r>
      <w:r>
        <w:t xml:space="preserve"> </w:t>
      </w:r>
      <w:r>
        <w:rPr>
          <w:bCs/>
          <w:b/>
        </w:rPr>
        <w:t xml:space="preserve">Israel Tel Aviv</w:t>
      </w:r>
      <w:r>
        <w:t xml:space="preserve"> </w:t>
      </w:r>
      <w:r>
        <w:t xml:space="preserve">is world-class, with excellent connectivity to major cloud providers (AWS, Azure, GCP). This is advantageous for deploying Actor-based systems, which often benefit from cloud-native features like auto-scaling and managed Kubernetes clusters.</w:t>
      </w:r>
    </w:p>
    <w:p>
      <w:pPr>
        <w:pStyle w:val="BodyText"/>
      </w:pPr>
      <w:r>
        <w:t xml:space="preserve">However, the review notes that the distributed nature of Actors can lead to increased network chatter. It is essential to optimize message serialization and consider co-locating Actor clusters within the same availability zones in Tel Aviv's data centers to minimize latency.</w:t>
      </w:r>
    </w:p>
    <w:bookmarkEnd w:id="27"/>
    <w:bookmarkEnd w:id="28"/>
    <w:bookmarkStart w:id="29" w:name="risks-and-mitigation-strategies"/>
    <w:p>
      <w:pPr>
        <w:pStyle w:val="Heading2"/>
      </w:pPr>
      <w:r>
        <w:t xml:space="preserve">4. Risks and Mitigation Strategies</w:t>
      </w:r>
    </w:p>
    <w:p>
      <w:pPr>
        <w:numPr>
          <w:ilvl w:val="0"/>
          <w:numId w:val="1001"/>
        </w:numPr>
        <w:pStyle w:val="Compact"/>
      </w:pPr>
      <w:r>
        <w:rPr>
          <w:bCs/>
          <w:b/>
        </w:rPr>
        <w:t xml:space="preserve">Complexity Overhead:</w:t>
      </w:r>
      <w:r>
        <w:t xml:space="preserve"> </w:t>
      </w:r>
      <w:r>
        <w:t xml:space="preserve">The Actor model introduces a new mental model for developers.</w:t>
      </w:r>
      <w:r>
        <w:t xml:space="preserve"> </w:t>
      </w:r>
      <w:r>
        <w:rPr>
          <w:iCs/>
          <w:i/>
        </w:rPr>
        <w:t xml:space="preserve">Mitigation:</w:t>
      </w:r>
      <w:r>
        <w:t xml:space="preserve"> </w:t>
      </w:r>
      <w:r>
        <w:t xml:space="preserve">Implement strict coding standards and provide comprehensive documentation tailored to the Tel Aviv team's existing skill set.</w:t>
      </w:r>
    </w:p>
    <w:p>
      <w:pPr>
        <w:numPr>
          <w:ilvl w:val="0"/>
          <w:numId w:val="1001"/>
        </w:numPr>
        <w:pStyle w:val="Compact"/>
      </w:pPr>
      <w:r>
        <w:rPr>
          <w:bCs/>
          <w:b/>
        </w:rPr>
        <w:t xml:space="preserve">Debugging Challenges:</w:t>
      </w:r>
      <w:r>
        <w:t xml:space="preserve"> </w:t>
      </w:r>
      <w:r>
        <w:t xml:space="preserve">Distributed tracing is more complex with Actors.</w:t>
      </w:r>
      <w:r>
        <w:t xml:space="preserve"> </w:t>
      </w:r>
      <w:r>
        <w:rPr>
          <w:iCs/>
          <w:i/>
        </w:rPr>
        <w:t xml:space="preserve">Mitigation:</w:t>
      </w:r>
      <w:r>
        <w:t xml:space="preserve"> </w:t>
      </w:r>
      <w:r>
        <w:t xml:space="preserve">Integrate advanced observability tools (e.g., OpenTelemetry) from day one to track message flows across Actor boundaries.</w:t>
      </w:r>
    </w:p>
    <w:p>
      <w:pPr>
        <w:numPr>
          <w:ilvl w:val="0"/>
          <w:numId w:val="1001"/>
        </w:numPr>
        <w:pStyle w:val="Compact"/>
      </w:pPr>
      <w:r>
        <w:rPr>
          <w:bCs/>
          <w:b/>
        </w:rPr>
        <w:t xml:space="preserve">Message Ordering:</w:t>
      </w:r>
      <w:r>
        <w:t xml:space="preserve"> </w:t>
      </w:r>
      <w:r>
        <w:t xml:space="preserve">Ensuring strict message ordering can be challenging in a distributed Actor system.</w:t>
      </w:r>
      <w:r>
        <w:t xml:space="preserve"> </w:t>
      </w:r>
      <w:r>
        <w:rPr>
          <w:iCs/>
          <w:i/>
        </w:rPr>
        <w:t xml:space="preserve">Mitigation:</w:t>
      </w:r>
      <w:r>
        <w:t xml:space="preserve"> </w:t>
      </w:r>
      <w:r>
        <w:t xml:space="preserve">Design business logic to be idempotent where possible and use sequence numbers for critical transactions.</w:t>
      </w:r>
    </w:p>
    <w:bookmarkEnd w:id="29"/>
    <w:bookmarkStart w:id="30" w:name="recommendations"/>
    <w:p>
      <w:pPr>
        <w:pStyle w:val="Heading2"/>
      </w:pPr>
      <w:r>
        <w:t xml:space="preserve">5. Recommendations</w:t>
      </w:r>
    </w:p>
    <w:p>
      <w:pPr>
        <w:pStyle w:val="FirstParagraph"/>
      </w:pPr>
      <w:r>
        <w:t xml:space="preserve">Based on this Peer Review Report, the following actions are recommended:</w:t>
      </w:r>
    </w:p>
    <w:p>
      <w:pPr>
        <w:numPr>
          <w:ilvl w:val="0"/>
          <w:numId w:val="1002"/>
        </w:numPr>
        <w:pStyle w:val="Compact"/>
      </w:pPr>
      <w:r>
        <w:t xml:space="preserve">Proceed with the</w:t>
      </w:r>
      <w:r>
        <w:t xml:space="preserve"> </w:t>
      </w:r>
      <w:r>
        <w:rPr>
          <w:bCs/>
          <w:b/>
        </w:rPr>
        <w:t xml:space="preserve">Actor</w:t>
      </w:r>
      <w:r>
        <w:t xml:space="preserve"> </w:t>
      </w:r>
      <w:r>
        <w:t xml:space="preserve">model implementation for the core transaction engine, given its alignment with scalability requirements.</w:t>
      </w:r>
    </w:p>
    <w:p>
      <w:pPr>
        <w:numPr>
          <w:ilvl w:val="0"/>
          <w:numId w:val="1002"/>
        </w:numPr>
        <w:pStyle w:val="Compact"/>
      </w:pPr>
      <w:r>
        <w:t xml:space="preserve">Initiate a training program for the</w:t>
      </w:r>
      <w:r>
        <w:t xml:space="preserve"> </w:t>
      </w:r>
      <w:r>
        <w:rPr>
          <w:bCs/>
          <w:b/>
        </w:rPr>
        <w:t xml:space="preserve">Israel Tel Aviv</w:t>
      </w:r>
      <w:r>
        <w:t xml:space="preserve"> </w:t>
      </w:r>
      <w:r>
        <w:t xml:space="preserve">development team to upskill in Actor-based concurrency patterns.</w:t>
      </w:r>
    </w:p>
    <w:p>
      <w:pPr>
        <w:numPr>
          <w:ilvl w:val="0"/>
          <w:numId w:val="1002"/>
        </w:numPr>
        <w:pStyle w:val="Compact"/>
      </w:pPr>
      <w:r>
        <w:t xml:space="preserve">Conduct a proof-of-concept (PoC) to validate performance metrics under load, simulating peak traffic conditions typical of Tel Aviv's fintech sector.</w:t>
      </w:r>
    </w:p>
    <w:p>
      <w:pPr>
        <w:numPr>
          <w:ilvl w:val="0"/>
          <w:numId w:val="1002"/>
        </w:numPr>
        <w:pStyle w:val="Compact"/>
      </w:pPr>
      <w:r>
        <w:t xml:space="preserve">Establish a dedicated "Actor Guild" within the engineering organization to share knowledge and best practices.</w:t>
      </w:r>
    </w:p>
    <w:bookmarkEnd w:id="30"/>
    <w:p>
      <w:pPr>
        <w:pStyle w:val="FirstParagraph"/>
      </w:pPr>
      <w:r>
        <w:t xml:space="preserve">9/10</w:t>
      </w:r>
    </w:p>
    <w:p>
      <w:pPr>
        <w:pStyle w:val="BodyText"/>
      </w:pPr>
      <w:r>
        <w:t xml:space="preserve">Architectural Fit</w:t>
      </w:r>
    </w:p>
    <w:p>
      <w:pPr>
        <w:pStyle w:val="BodyText"/>
      </w:pPr>
      <w:r>
        <w:t xml:space="preserve">7/10</w:t>
      </w:r>
    </w:p>
    <w:p>
      <w:pPr>
        <w:pStyle w:val="BodyText"/>
      </w:pPr>
      <w:r>
        <w:t xml:space="preserve">Team Readiness</w:t>
      </w:r>
    </w:p>
    <w:p>
      <w:pPr>
        <w:pStyle w:val="BodyText"/>
      </w:pPr>
      <w:r>
        <w:t xml:space="preserve">8/10</w:t>
      </w:r>
    </w:p>
    <w:p>
      <w:pPr>
        <w:pStyle w:val="BodyText"/>
      </w:pPr>
      <w:r>
        <w:t xml:space="preserve">Operational Viability</w:t>
      </w:r>
    </w:p>
    <w:bookmarkStart w:id="31" w:name="conclusion"/>
    <w:p>
      <w:pPr>
        <w:pStyle w:val="Heading2"/>
      </w:pPr>
      <w:r>
        <w:t xml:space="preserve">6. Conclusion</w:t>
      </w:r>
    </w:p>
    <w:p>
      <w:pPr>
        <w:pStyle w:val="FirstParagraph"/>
      </w:pPr>
      <w:r>
        <w:t xml:space="preserve">In conclusion, the adoption of the</w:t>
      </w:r>
      <w:r>
        <w:t xml:space="preserve"> </w:t>
      </w:r>
      <w:r>
        <w:rPr>
          <w:bCs/>
          <w:b/>
        </w:rPr>
        <w:t xml:space="preserve">Actor</w:t>
      </w:r>
      <w:r>
        <w:t xml:space="preserve"> </w:t>
      </w:r>
      <w:r>
        <w:t xml:space="preserve">model for our platform in</w:t>
      </w:r>
      <w:r>
        <w:t xml:space="preserve"> </w:t>
      </w:r>
      <w:r>
        <w:rPr>
          <w:bCs/>
          <w:b/>
        </w:rPr>
        <w:t xml:space="preserve">Israel Tel Aviv</w:t>
      </w:r>
      <w:r>
        <w:t xml:space="preserve"> </w:t>
      </w:r>
      <w:r>
        <w:t xml:space="preserve">is a strategically sound decision that positions us for high scalability and resilience. While there are challenges related to team expertise and operational complexity, these can be mitigated through targeted training and robust engineering practices. This Peer Review Report endorses the proposed architecture with the condition that the recommended mitigation strategies are implemented promptly.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Israel Tel Aviv</dc:title>
  <dc:creator/>
  <dc:language>en</dc:language>
  <cp:keywords/>
  <dcterms:created xsi:type="dcterms:W3CDTF">2026-10-10T03:52:20Z</dcterms:created>
  <dcterms:modified xsi:type="dcterms:W3CDTF">2026-10-10T03:52:20Z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