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Actor</w:t>
      </w:r>
      <w:r>
        <w:t xml:space="preserve"> </w:t>
      </w:r>
      <w:r>
        <w:t xml:space="preserve">Framework</w:t>
      </w:r>
      <w:r>
        <w:t xml:space="preserve"> </w:t>
      </w:r>
      <w:r>
        <w:t xml:space="preserve">Deployment</w:t>
      </w:r>
      <w:r>
        <w:t xml:space="preserve"> </w:t>
      </w:r>
      <w:r>
        <w:t xml:space="preserve">in</w:t>
      </w:r>
      <w:r>
        <w:t xml:space="preserve"> </w:t>
      </w:r>
      <w:r>
        <w:t xml:space="preserve">Japan</w:t>
      </w:r>
      <w:r>
        <w:t xml:space="preserve"> </w:t>
      </w:r>
      <w:r>
        <w:t xml:space="preserve">Kyoto</w:t>
      </w:r>
    </w:p>
    <w:bookmarkStart w:id="29" w:name="Xa5434a3c5c3e1f15d546f9b6b675448be5397ff"/>
    <w:p>
      <w:pPr>
        <w:pStyle w:val="Heading1"/>
      </w:pPr>
      <w:r>
        <w:t xml:space="preserve">Peer Review Report: Actor Framework Implementation</w:t>
      </w:r>
    </w:p>
    <w:p>
      <w:pPr>
        <w:pStyle w:val="FirstParagraph"/>
      </w:pPr>
      <w:r>
        <w:rPr>
          <w:bCs/>
          <w:b/>
        </w:rPr>
        <w:t xml:space="preserve">Project Title:</w:t>
      </w:r>
      <w:r>
        <w:t xml:space="preserve"> </w:t>
      </w:r>
      <w:r>
        <w:t xml:space="preserve">Distributed Microservices Architecture for Kyoto Smart City Initiative</w:t>
      </w:r>
    </w:p>
    <w:p>
      <w:pPr>
        <w:pStyle w:val="BodyText"/>
      </w:pPr>
      <w:r>
        <w:rPr>
          <w:bCs/>
          <w:b/>
        </w:rPr>
        <w:t xml:space="preserve">Subject of Review:</w:t>
      </w:r>
      <w:r>
        <w:t xml:space="preserve"> </w:t>
      </w:r>
      <w:r>
        <w:t xml:space="preserve">Actor Model Implementation (Akka/Orleans based)</w:t>
      </w:r>
    </w:p>
    <w:p>
      <w:pPr>
        <w:pStyle w:val="BodyText"/>
      </w:pPr>
      <w:r>
        <w:rPr>
          <w:bCs/>
          <w:b/>
        </w:rPr>
        <w:t xml:space="preserve">Target Deployment Region:</w:t>
      </w:r>
      <w:r>
        <w:t xml:space="preserve"> </w:t>
      </w:r>
      <w:r>
        <w:t xml:space="preserve">Japan Kyoto (Kansai Region)</w:t>
      </w:r>
    </w:p>
    <w:p>
      <w:pPr>
        <w:pStyle w:val="BodyText"/>
      </w:pPr>
      <w:r>
        <w:rPr>
          <w:bCs/>
          <w:b/>
        </w:rPr>
        <w:t xml:space="preserve">Review Date:</w:t>
      </w:r>
      <w:r>
        <w:t xml:space="preserve"> </w:t>
      </w:r>
      <w:r>
        <w:t xml:space="preserve">October 24, 2023</w:t>
      </w:r>
    </w:p>
    <w:p>
      <w:pPr>
        <w:pStyle w:val="BodyText"/>
      </w:pPr>
      <w:r>
        <w:rPr>
          <w:bCs/>
          <w:b/>
        </w:rPr>
        <w:t xml:space="preserve">Reviewers:</w:t>
      </w:r>
      <w:r>
        <w:t xml:space="preserve"> </w:t>
      </w:r>
      <w:r>
        <w:t xml:space="preserve">Senior Architecture Board</w:t>
      </w:r>
    </w:p>
    <w:bookmarkStart w:id="20" w:name="executive-summary"/>
    <w:p>
      <w:pPr>
        <w:pStyle w:val="Heading2"/>
      </w:pPr>
      <w:r>
        <w:t xml:space="preserve">1. Executive Summary</w:t>
      </w:r>
    </w:p>
    <w:p>
      <w:pPr>
        <w:pStyle w:val="FirstParagraph"/>
      </w:pPr>
      <w:r>
        <w:t xml:space="preserve">This Peer Review Report evaluates the proposed software architecture for the upcoming digital infrastructure project located in Japan Kyoto. The core of this architecture relies heavily on the</w:t>
      </w:r>
      <w:r>
        <w:t xml:space="preserve"> </w:t>
      </w:r>
      <w:r>
        <w:rPr>
          <w:bCs/>
          <w:b/>
        </w:rPr>
        <w:t xml:space="preserve">Actor</w:t>
      </w:r>
      <w:r>
        <w:t xml:space="preserve"> </w:t>
      </w:r>
      <w:r>
        <w:t xml:space="preserve">model to manage concurrent processes, state management, and distributed communication. The review panel has analyzed the technical specifications, scalability requirements, and regional constraints specific to the Kyoto deployment environment.</w:t>
      </w:r>
    </w:p>
    <w:p>
      <w:pPr>
        <w:pStyle w:val="BodyText"/>
      </w:pPr>
      <w:r>
        <w:t xml:space="preserve">The consensus of the review board is that the</w:t>
      </w:r>
      <w:r>
        <w:t xml:space="preserve"> </w:t>
      </w:r>
      <w:r>
        <w:rPr>
          <w:bCs/>
          <w:b/>
        </w:rPr>
        <w:t xml:space="preserve">Actor</w:t>
      </w:r>
      <w:r>
        <w:t xml:space="preserve"> </w:t>
      </w:r>
      <w:r>
        <w:t xml:space="preserve">model is exceptionally well-suited for the high-concurrency demands of a modern smart city environment in Japan Kyoto. However, specific adjustments are required regarding latency handling, data sovereignty compliance, and cultural localization of the user interface logic handled by the actors.</w:t>
      </w:r>
    </w:p>
    <w:bookmarkEnd w:id="20"/>
    <w:bookmarkStart w:id="21" w:name="technical-evaluation-of-the-actor-model"/>
    <w:p>
      <w:pPr>
        <w:pStyle w:val="Heading2"/>
      </w:pPr>
      <w:r>
        <w:t xml:space="preserve">2. Technical Evaluation of the Actor Model</w:t>
      </w:r>
    </w:p>
    <w:p>
      <w:pPr>
        <w:pStyle w:val="FirstParagraph"/>
      </w:pPr>
      <w:r>
        <w:t xml:space="preserve">The decision to utilize the</w:t>
      </w:r>
      <w:r>
        <w:t xml:space="preserve"> </w:t>
      </w:r>
      <w:r>
        <w:rPr>
          <w:bCs/>
          <w:b/>
        </w:rPr>
        <w:t xml:space="preserve">Actor</w:t>
      </w:r>
      <w:r>
        <w:t xml:space="preserve"> </w:t>
      </w:r>
      <w:r>
        <w:t xml:space="preserve">model for this system is technically sound. In the context of Japan Kyoto, where the system must handle thousands of simultaneous requests from IoT sensors, tourist information kiosks, and municipal services, traditional thread-based concurrency models often lead to race conditions and deadlocks.</w:t>
      </w:r>
    </w:p>
    <w:p>
      <w:pPr>
        <w:pStyle w:val="BodyText"/>
      </w:pPr>
      <w:r>
        <w:t xml:space="preserve">The</w:t>
      </w:r>
      <w:r>
        <w:t xml:space="preserve"> </w:t>
      </w:r>
      <w:r>
        <w:rPr>
          <w:bCs/>
          <w:b/>
        </w:rPr>
        <w:t xml:space="preserve">Actor</w:t>
      </w:r>
      <w:r>
        <w:t xml:space="preserve"> </w:t>
      </w:r>
      <w:r>
        <w:t xml:space="preserve">model provides a robust solution through the following mechanisms:</w:t>
      </w:r>
    </w:p>
    <w:p>
      <w:pPr>
        <w:numPr>
          <w:ilvl w:val="0"/>
          <w:numId w:val="1001"/>
        </w:numPr>
        <w:pStyle w:val="Compact"/>
      </w:pPr>
      <w:r>
        <w:rPr>
          <w:bCs/>
          <w:b/>
        </w:rPr>
        <w:t xml:space="preserve">Encapsulation:</w:t>
      </w:r>
      <w:r>
        <w:t xml:space="preserve"> </w:t>
      </w:r>
      <w:r>
        <w:t xml:space="preserve">Each</w:t>
      </w:r>
      <w:r>
        <w:t xml:space="preserve"> </w:t>
      </w:r>
      <w:r>
        <w:rPr>
          <w:bCs/>
          <w:b/>
        </w:rPr>
        <w:t xml:space="preserve">Actor</w:t>
      </w:r>
      <w:r>
        <w:t xml:space="preserve"> </w:t>
      </w:r>
      <w:r>
        <w:t xml:space="preserve">encapsulates its own state and behavior. This is critical for managing sensitive data regarding Kyoto's cultural heritage sites and visitor privacy.</w:t>
      </w:r>
    </w:p>
    <w:p>
      <w:pPr>
        <w:numPr>
          <w:ilvl w:val="0"/>
          <w:numId w:val="1001"/>
        </w:numPr>
        <w:pStyle w:val="Compact"/>
      </w:pPr>
      <w:r>
        <w:rPr>
          <w:bCs/>
          <w:b/>
        </w:rPr>
        <w:t xml:space="preserve">Asynchronous Messaging:</w:t>
      </w:r>
      <w:r>
        <w:t xml:space="preserve"> </w:t>
      </w:r>
      <w:r>
        <w:t xml:space="preserve">Communication between</w:t>
      </w:r>
      <w:r>
        <w:t xml:space="preserve"> </w:t>
      </w:r>
      <w:r>
        <w:rPr>
          <w:bCs/>
          <w:b/>
        </w:rPr>
        <w:t xml:space="preserve">Actor</w:t>
      </w:r>
      <w:r>
        <w:t xml:space="preserve"> </w:t>
      </w:r>
      <w:r>
        <w:t xml:space="preserve">instances is handled via asynchronous messages. This non-blocking nature ensures that the system remains responsive even during peak tourist seasons in Kyoto.</w:t>
      </w:r>
    </w:p>
    <w:p>
      <w:pPr>
        <w:numPr>
          <w:ilvl w:val="0"/>
          <w:numId w:val="1001"/>
        </w:numPr>
        <w:pStyle w:val="Compact"/>
      </w:pPr>
      <w:r>
        <w:rPr>
          <w:bCs/>
          <w:b/>
        </w:rPr>
        <w:t xml:space="preserve">Location Transparency:</w:t>
      </w:r>
      <w:r>
        <w:t xml:space="preserve"> </w:t>
      </w:r>
      <w:r>
        <w:t xml:space="preserve">The</w:t>
      </w:r>
      <w:r>
        <w:t xml:space="preserve"> </w:t>
      </w:r>
      <w:r>
        <w:rPr>
          <w:bCs/>
          <w:b/>
        </w:rPr>
        <w:t xml:space="preserve">Actor</w:t>
      </w:r>
      <w:r>
        <w:t xml:space="preserve"> </w:t>
      </w:r>
      <w:r>
        <w:t xml:space="preserve">model allows the system to scale across multiple nodes without changing the application logic. This is vital for distributing the load across data centers in the Kansai region.</w:t>
      </w:r>
    </w:p>
    <w:bookmarkEnd w:id="21"/>
    <w:bookmarkStart w:id="25" w:name="regional-considerations-japan-kyoto"/>
    <w:p>
      <w:pPr>
        <w:pStyle w:val="Heading2"/>
      </w:pPr>
      <w:r>
        <w:t xml:space="preserve">3. Regional Considerations: Japan Kyoto</w:t>
      </w:r>
    </w:p>
    <w:p>
      <w:pPr>
        <w:pStyle w:val="FirstParagraph"/>
      </w:pPr>
      <w:r>
        <w:t xml:space="preserve">Deploying a distributed</w:t>
      </w:r>
      <w:r>
        <w:t xml:space="preserve"> </w:t>
      </w:r>
      <w:r>
        <w:rPr>
          <w:bCs/>
          <w:b/>
        </w:rPr>
        <w:t xml:space="preserve">Actor</w:t>
      </w:r>
      <w:r>
        <w:t xml:space="preserve"> </w:t>
      </w:r>
      <w:r>
        <w:t xml:space="preserve">system in Japan Kyoto requires a nuanced understanding of the local infrastructure and regulatory environment. The review highlights several critical factors:</w:t>
      </w:r>
    </w:p>
    <w:bookmarkStart w:id="22" w:name="network-latency-and-connectivity"/>
    <w:p>
      <w:pPr>
        <w:pStyle w:val="Heading3"/>
      </w:pPr>
      <w:r>
        <w:t xml:space="preserve">3.1 Network Latency and Connectivity</w:t>
      </w:r>
    </w:p>
    <w:p>
      <w:pPr>
        <w:pStyle w:val="FirstParagraph"/>
      </w:pPr>
      <w:r>
        <w:t xml:space="preserve">While Japan boasts world-class internet infrastructure, the specific deployment in Kyoto involves connecting legacy systems in historic districts with modern cloud infrastructure. The</w:t>
      </w:r>
      <w:r>
        <w:t xml:space="preserve"> </w:t>
      </w:r>
      <w:r>
        <w:rPr>
          <w:bCs/>
          <w:b/>
        </w:rPr>
        <w:t xml:space="preserve">Actor</w:t>
      </w:r>
      <w:r>
        <w:t xml:space="preserve"> </w:t>
      </w:r>
      <w:r>
        <w:t xml:space="preserve">system must be configured to handle potential network partitions. We recommend implementing the "Supervisor Strategy" pattern within the</w:t>
      </w:r>
      <w:r>
        <w:t xml:space="preserve"> </w:t>
      </w:r>
      <w:r>
        <w:rPr>
          <w:bCs/>
          <w:b/>
        </w:rPr>
        <w:t xml:space="preserve">Actor</w:t>
      </w:r>
      <w:r>
        <w:t xml:space="preserve"> </w:t>
      </w:r>
      <w:r>
        <w:t xml:space="preserve">hierarchy to ensure that if a node in a remote Kyoto district goes offline, the parent</w:t>
      </w:r>
      <w:r>
        <w:t xml:space="preserve"> </w:t>
      </w:r>
      <w:r>
        <w:rPr>
          <w:bCs/>
          <w:b/>
        </w:rPr>
        <w:t xml:space="preserve">Actor</w:t>
      </w:r>
      <w:r>
        <w:t xml:space="preserve"> </w:t>
      </w:r>
      <w:r>
        <w:t xml:space="preserve">can restart or isolate the failure without crashing the entire system.</w:t>
      </w:r>
    </w:p>
    <w:bookmarkEnd w:id="22"/>
    <w:bookmarkStart w:id="23" w:name="data-sovereignty-and-compliance"/>
    <w:p>
      <w:pPr>
        <w:pStyle w:val="Heading3"/>
      </w:pPr>
      <w:r>
        <w:t xml:space="preserve">3.2 Data Sovereignty and Compliance</w:t>
      </w:r>
    </w:p>
    <w:p>
      <w:pPr>
        <w:pStyle w:val="FirstParagraph"/>
      </w:pPr>
      <w:r>
        <w:t xml:space="preserve">Japan has strict data protection laws, including the Act on the Protection of Personal Information (APPI). Since the</w:t>
      </w:r>
      <w:r>
        <w:t xml:space="preserve"> </w:t>
      </w:r>
      <w:r>
        <w:rPr>
          <w:bCs/>
          <w:b/>
        </w:rPr>
        <w:t xml:space="preserve">Actor</w:t>
      </w:r>
      <w:r>
        <w:t xml:space="preserve"> </w:t>
      </w:r>
      <w:r>
        <w:t xml:space="preserve">model often involves replicating state for high availability, the architecture must ensure that data regarding Japanese citizens and tourists does not inadvertently replicate to servers outside of Japan. The</w:t>
      </w:r>
      <w:r>
        <w:t xml:space="preserve"> </w:t>
      </w:r>
      <w:r>
        <w:rPr>
          <w:bCs/>
          <w:b/>
        </w:rPr>
        <w:t xml:space="preserve">Actor</w:t>
      </w:r>
      <w:r>
        <w:t xml:space="preserve"> </w:t>
      </w:r>
      <w:r>
        <w:t xml:space="preserve">placement strategy must be geographically constrained to data centers within the Japan Kyoto region or the broader Kansai area to ensure compliance.</w:t>
      </w:r>
    </w:p>
    <w:bookmarkEnd w:id="23"/>
    <w:bookmarkStart w:id="24" w:name="cultural-and-linguistic-localization"/>
    <w:p>
      <w:pPr>
        <w:pStyle w:val="Heading3"/>
      </w:pPr>
      <w:r>
        <w:t xml:space="preserve">3.3 Cultural and Linguistic Localization</w:t>
      </w:r>
    </w:p>
    <w:p>
      <w:pPr>
        <w:pStyle w:val="FirstParagraph"/>
      </w:pPr>
      <w:r>
        <w:t xml:space="preserve">The</w:t>
      </w:r>
      <w:r>
        <w:t xml:space="preserve"> </w:t>
      </w:r>
      <w:r>
        <w:rPr>
          <w:bCs/>
          <w:b/>
        </w:rPr>
        <w:t xml:space="preserve">Actor</w:t>
      </w:r>
      <w:r>
        <w:t xml:space="preserve"> </w:t>
      </w:r>
      <w:r>
        <w:t xml:space="preserve">responsible for user interaction (UI Actors) must be designed with multi-tenancy in mind. Japan Kyoto is a global tourist destination. The system must seamlessly switch between Japanese, English, Chinese, and Korean. The review suggests creating specialized</w:t>
      </w:r>
      <w:r>
        <w:t xml:space="preserve"> </w:t>
      </w:r>
      <w:r>
        <w:rPr>
          <w:bCs/>
          <w:b/>
        </w:rPr>
        <w:t xml:space="preserve">Actor</w:t>
      </w:r>
      <w:r>
        <w:t xml:space="preserve"> </w:t>
      </w:r>
      <w:r>
        <w:t xml:space="preserve">pools dedicated to localization logic to prevent bottlenecks during translation lookups.</w:t>
      </w:r>
    </w:p>
    <w:bookmarkEnd w:id="24"/>
    <w:bookmarkEnd w:id="25"/>
    <w:bookmarkStart w:id="26" w:name="performance-and-scalability-analysis"/>
    <w:p>
      <w:pPr>
        <w:pStyle w:val="Heading2"/>
      </w:pPr>
      <w:r>
        <w:t xml:space="preserve">4. Performance and Scalability Analysis</w:t>
      </w:r>
    </w:p>
    <w:p>
      <w:pPr>
        <w:pStyle w:val="FirstParagraph"/>
      </w:pPr>
      <w:r>
        <w:t xml:space="preserve">The projected load for the Japan Kyoto deployment is estimated at 50,000 concurrent users during peak cherry blossom (Sakura) and autumn foliage (Koyo) seasons. The</w:t>
      </w:r>
      <w:r>
        <w:t xml:space="preserve"> </w:t>
      </w:r>
      <w:r>
        <w:rPr>
          <w:bCs/>
          <w:b/>
        </w:rPr>
        <w:t xml:space="preserve">Actor</w:t>
      </w:r>
      <w:r>
        <w:t xml:space="preserve"> </w:t>
      </w:r>
      <w:r>
        <w:t xml:space="preserve">model scales horizontally very well. However, the review identified a potential bottleneck in the "Mailbox" processing of high-priority</w:t>
      </w:r>
      <w:r>
        <w:t xml:space="preserve"> </w:t>
      </w:r>
      <w:r>
        <w:rPr>
          <w:bCs/>
          <w:b/>
        </w:rPr>
        <w:t xml:space="preserve">Actor</w:t>
      </w:r>
      <w:r>
        <w:t xml:space="preserve"> </w:t>
      </w:r>
      <w:r>
        <w:t xml:space="preserve">instances.</w:t>
      </w:r>
    </w:p>
    <w:p>
      <w:pPr>
        <w:pStyle w:val="BodyText"/>
      </w:pPr>
      <w:r>
        <w:t xml:space="preserve">To mitigate this, we recommend implementing priority mailboxes for critical municipal services (e.g., emergency alerts) while using standard mailboxes for general tourist information. This ensures that the integrity of the Japan Kyoto public safety infrastructure is maintained regardless of traffic volume.</w:t>
      </w:r>
    </w:p>
    <w:bookmarkEnd w:id="26"/>
    <w:bookmarkStart w:id="27" w:name="Xfbbd36652d12f5e728562b0f63592b46075d08a"/>
    <w:p>
      <w:pPr>
        <w:pStyle w:val="Heading2"/>
      </w:pPr>
      <w:r>
        <w:t xml:space="preserve">5. Identified Risks and Mitigation Strategies</w:t>
      </w:r>
    </w:p>
    <w:p>
      <w:pPr>
        <w:pStyle w:val="FirstParagraph"/>
      </w:pPr>
      <w:r>
        <w:t xml:space="preserve">The Peer Review Report identifies the following risks associated with the</w:t>
      </w:r>
      <w:r>
        <w:t xml:space="preserve"> </w:t>
      </w:r>
      <w:r>
        <w:rPr>
          <w:bCs/>
          <w:b/>
        </w:rPr>
        <w:t xml:space="preserve">Actor</w:t>
      </w:r>
      <w:r>
        <w:t xml:space="preserve"> </w:t>
      </w:r>
      <w:r>
        <w:t xml:space="preserve">implementation in this specific context:</w:t>
      </w:r>
    </w:p>
    <w:p>
      <w:pPr>
        <w:numPr>
          <w:ilvl w:val="0"/>
          <w:numId w:val="1002"/>
        </w:numPr>
        <w:pStyle w:val="Compact"/>
      </w:pPr>
      <w:r>
        <w:rPr>
          <w:bCs/>
          <w:b/>
        </w:rPr>
        <w:t xml:space="preserve">Risk:</w:t>
      </w:r>
      <w:r>
        <w:t xml:space="preserve"> </w:t>
      </w:r>
      <w:r>
        <w:t xml:space="preserve">Complexity in debugging distributed</w:t>
      </w:r>
      <w:r>
        <w:t xml:space="preserve"> </w:t>
      </w:r>
      <w:r>
        <w:rPr>
          <w:bCs/>
          <w:b/>
        </w:rPr>
        <w:t xml:space="preserve">Actor</w:t>
      </w:r>
      <w:r>
        <w:t xml:space="preserve"> </w:t>
      </w:r>
      <w:r>
        <w:t xml:space="preserve">systems.</w:t>
      </w:r>
    </w:p>
    <w:p>
      <w:pPr>
        <w:numPr>
          <w:ilvl w:val="0"/>
          <w:numId w:val="1002"/>
        </w:numPr>
        <w:pStyle w:val="Compact"/>
      </w:pPr>
      <w:r>
        <w:rPr>
          <w:bCs/>
          <w:b/>
        </w:rPr>
        <w:t xml:space="preserve">Mitigation:</w:t>
      </w:r>
      <w:r>
        <w:t xml:space="preserve"> </w:t>
      </w:r>
      <w:r>
        <w:t xml:space="preserve">Implement comprehensive distributed tracing (e.g., OpenTelemetry) to track message flows between</w:t>
      </w:r>
      <w:r>
        <w:t xml:space="preserve"> </w:t>
      </w:r>
      <w:r>
        <w:rPr>
          <w:bCs/>
          <w:b/>
        </w:rPr>
        <w:t xml:space="preserve">Actor</w:t>
      </w:r>
      <w:r>
        <w:t xml:space="preserve"> </w:t>
      </w:r>
      <w:r>
        <w:t xml:space="preserve">instances across the Japan Kyoto network.</w:t>
      </w:r>
    </w:p>
    <w:p>
      <w:pPr>
        <w:numPr>
          <w:ilvl w:val="0"/>
          <w:numId w:val="1002"/>
        </w:numPr>
        <w:pStyle w:val="Compact"/>
      </w:pPr>
      <w:r>
        <w:rPr>
          <w:bCs/>
          <w:b/>
        </w:rPr>
        <w:t xml:space="preserve">Risk:</w:t>
      </w:r>
      <w:r>
        <w:t xml:space="preserve"> </w:t>
      </w:r>
      <w:r>
        <w:t xml:space="preserve">State inconsistency during network failures.</w:t>
      </w:r>
    </w:p>
    <w:p>
      <w:pPr>
        <w:numPr>
          <w:ilvl w:val="0"/>
          <w:numId w:val="1002"/>
        </w:numPr>
        <w:pStyle w:val="Compact"/>
      </w:pPr>
      <w:r>
        <w:rPr>
          <w:bCs/>
          <w:b/>
        </w:rPr>
        <w:t xml:space="preserve">Mitigation:</w:t>
      </w:r>
      <w:r>
        <w:t xml:space="preserve"> </w:t>
      </w:r>
      <w:r>
        <w:t xml:space="preserve">Utilize Event Sourcing patterns within the</w:t>
      </w:r>
      <w:r>
        <w:t xml:space="preserve"> </w:t>
      </w:r>
      <w:r>
        <w:rPr>
          <w:bCs/>
          <w:b/>
        </w:rPr>
        <w:t xml:space="preserve">Actor</w:t>
      </w:r>
      <w:r>
        <w:t xml:space="preserve"> </w:t>
      </w:r>
      <w:r>
        <w:t xml:space="preserve">design to maintain an immutable log of state changes, ensuring data integrity.</w:t>
      </w:r>
    </w:p>
    <w:p>
      <w:pPr>
        <w:numPr>
          <w:ilvl w:val="0"/>
          <w:numId w:val="1002"/>
        </w:numPr>
        <w:pStyle w:val="Compact"/>
      </w:pPr>
      <w:r>
        <w:rPr>
          <w:bCs/>
          <w:b/>
        </w:rPr>
        <w:t xml:space="preserve">Risk:</w:t>
      </w:r>
      <w:r>
        <w:t xml:space="preserve"> </w:t>
      </w:r>
      <w:r>
        <w:t xml:space="preserve">Talent shortage for Actor-specific frameworks.</w:t>
      </w:r>
    </w:p>
    <w:p>
      <w:pPr>
        <w:numPr>
          <w:ilvl w:val="0"/>
          <w:numId w:val="1002"/>
        </w:numPr>
        <w:pStyle w:val="Compact"/>
      </w:pPr>
      <w:r>
        <w:rPr>
          <w:bCs/>
          <w:b/>
        </w:rPr>
        <w:t xml:space="preserve">Mitigation:</w:t>
      </w:r>
      <w:r>
        <w:t xml:space="preserve"> </w:t>
      </w:r>
      <w:r>
        <w:t xml:space="preserve">Provide specialized training for the development team in Kyoto on the specific</w:t>
      </w:r>
      <w:r>
        <w:t xml:space="preserve"> </w:t>
      </w:r>
      <w:r>
        <w:rPr>
          <w:bCs/>
          <w:b/>
        </w:rPr>
        <w:t xml:space="preserve">Actor</w:t>
      </w:r>
      <w:r>
        <w:t xml:space="preserve"> </w:t>
      </w:r>
      <w:r>
        <w:t xml:space="preserve">framework being used.</w:t>
      </w:r>
    </w:p>
    <w:bookmarkEnd w:id="27"/>
    <w:bookmarkStart w:id="28" w:name="conclusion-and-recommendation"/>
    <w:p>
      <w:pPr>
        <w:pStyle w:val="Heading2"/>
      </w:pPr>
      <w:r>
        <w:t xml:space="preserve">6. Conclusion and Recommendation</w:t>
      </w:r>
    </w:p>
    <w:p>
      <w:pPr>
        <w:pStyle w:val="FirstParagraph"/>
      </w:pPr>
      <w:r>
        <w:t xml:space="preserve">The Peer Review Report concludes that the adoption of the</w:t>
      </w:r>
      <w:r>
        <w:t xml:space="preserve"> </w:t>
      </w:r>
      <w:r>
        <w:rPr>
          <w:bCs/>
          <w:b/>
        </w:rPr>
        <w:t xml:space="preserve">Actor</w:t>
      </w:r>
      <w:r>
        <w:t xml:space="preserve"> </w:t>
      </w:r>
      <w:r>
        <w:t xml:space="preserve">model is a strategic advantage for the Japan Kyoto project. It offers the resilience, scalability, and concurrency management required for a modern, high-traffic urban environment. The architecture aligns well with the technical goals of the project.</w:t>
      </w:r>
    </w:p>
    <w:p>
      <w:pPr>
        <w:pStyle w:val="BodyText"/>
      </w:pPr>
      <w:r>
        <w:t xml:space="preserve">Provided that the team addresses the specific concerns regarding data sovereignty, network latency in historic districts, and localization requirements, the project is cleared to proceed to the implementation phase.</w:t>
      </w:r>
    </w:p>
    <w:p>
      <w:pPr>
        <w:pStyle w:val="BodyText"/>
      </w:pPr>
      <w:r>
        <w:rPr>
          <w:bCs/>
          <w:b/>
        </w:rPr>
        <w:t xml:space="preserve">Final Verdict: APPROVED WITH CONDITIONS</w:t>
      </w:r>
    </w:p>
    <w:p>
      <w:pPr>
        <w:pStyle w:val="BodyText"/>
      </w:pPr>
      <w:r>
        <w:t xml:space="preserve">Proceed with the</w:t>
      </w:r>
      <w:r>
        <w:t xml:space="preserve"> </w:t>
      </w:r>
      <w:r>
        <w:rPr>
          <w:bCs/>
          <w:b/>
        </w:rPr>
        <w:t xml:space="preserve">Actor</w:t>
      </w:r>
      <w:r>
        <w:t xml:space="preserve"> </w:t>
      </w:r>
      <w:r>
        <w:t xml:space="preserve">framework implementation. Ensure strict adherence to Japanese data residency laws and optimize</w:t>
      </w:r>
      <w:r>
        <w:t xml:space="preserve"> </w:t>
      </w:r>
      <w:r>
        <w:rPr>
          <w:bCs/>
          <w:b/>
        </w:rPr>
        <w:t xml:space="preserve">Actor</w:t>
      </w:r>
      <w:r>
        <w:t xml:space="preserve"> </w:t>
      </w:r>
      <w:r>
        <w:t xml:space="preserve">supervision strategies for the specific network topology of Japan Kyoto.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Actor Framework Deployment in Japan Kyoto</dc:title>
  <dc:creator/>
  <dc:language>en</dc:language>
  <cp:keywords/>
  <dcterms:created xsi:type="dcterms:W3CDTF">2026-10-10T01:59:45Z</dcterms:created>
  <dcterms:modified xsi:type="dcterms:W3CDTF">2026-10-10T01:59:45Z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