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System</w:t>
      </w:r>
      <w:r>
        <w:t xml:space="preserve"> </w:t>
      </w:r>
      <w:r>
        <w:t xml:space="preserve">Deployment</w:t>
      </w:r>
      <w:r>
        <w:t xml:space="preserve"> </w:t>
      </w:r>
      <w:r>
        <w:t xml:space="preserve">in</w:t>
      </w:r>
      <w:r>
        <w:t xml:space="preserve"> </w:t>
      </w:r>
      <w:r>
        <w:t xml:space="preserve">Japan</w:t>
      </w:r>
      <w:r>
        <w:t xml:space="preserve"> </w:t>
      </w:r>
      <w:r>
        <w:t xml:space="preserve">Osaka</w:t>
      </w:r>
    </w:p>
    <w:bookmarkStart w:id="29" w:name="X9e995e734013c8c8941560eb71c920c12786f58"/>
    <w:p>
      <w:pPr>
        <w:pStyle w:val="Heading1"/>
      </w:pPr>
      <w:r>
        <w:t xml:space="preserve">Peer Review Report: Actor System Architecture for Japan Osaka Deployment</w:t>
      </w:r>
    </w:p>
    <w:p>
      <w:pPr>
        <w:pStyle w:val="FirstParagraph"/>
      </w:pPr>
      <w:r>
        <w:rPr>
          <w:bCs/>
          <w:b/>
        </w:rPr>
        <w:t xml:space="preserve">Document Type:</w:t>
      </w:r>
      <w:r>
        <w:t xml:space="preserve"> </w:t>
      </w:r>
      <w:r>
        <w:t xml:space="preserve">Technical Peer Review Report</w:t>
      </w:r>
    </w:p>
    <w:p>
      <w:pPr>
        <w:pStyle w:val="BodyText"/>
      </w:pPr>
      <w:r>
        <w:rPr>
          <w:bCs/>
          <w:b/>
        </w:rPr>
        <w:t xml:space="preserve">Subject:</w:t>
      </w:r>
      <w:r>
        <w:t xml:space="preserve"> </w:t>
      </w:r>
      <w:r>
        <w:t xml:space="preserve">Evaluation of Actor Model Implementation for High-Concurrency Services</w:t>
      </w:r>
    </w:p>
    <w:p>
      <w:pPr>
        <w:pStyle w:val="BodyText"/>
      </w:pPr>
      <w:r>
        <w:rPr>
          <w:bCs/>
          <w:b/>
        </w:rPr>
        <w:t xml:space="preserve">Target Region:</w:t>
      </w:r>
      <w:r>
        <w:t xml:space="preserve"> </w:t>
      </w:r>
      <w:r>
        <w:t xml:space="preserve">Japan Osaka (Kansai Region)</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Distributed Systems Architect</w:t>
      </w:r>
    </w:p>
    <w:bookmarkStart w:id="20" w:name="executive-summary"/>
    <w:p>
      <w:pPr>
        <w:pStyle w:val="Heading2"/>
      </w:pPr>
      <w:r>
        <w:t xml:space="preserve">1. Executive Summary</w:t>
      </w:r>
    </w:p>
    <w:p>
      <w:pPr>
        <w:pStyle w:val="FirstParagraph"/>
      </w:pPr>
      <w:r>
        <w:t xml:space="preserve">This Peer Review Report provides a comprehensive technical evaluation of the proposed</w:t>
      </w:r>
      <w:r>
        <w:t xml:space="preserve"> </w:t>
      </w:r>
      <w:r>
        <w:rPr>
          <w:bCs/>
          <w:b/>
        </w:rPr>
        <w:t xml:space="preserve">Actor</w:t>
      </w:r>
      <w:r>
        <w:t xml:space="preserve">-based architecture intended for deployment within the</w:t>
      </w:r>
      <w:r>
        <w:t xml:space="preserve"> </w:t>
      </w:r>
      <w:r>
        <w:rPr>
          <w:bCs/>
          <w:b/>
        </w:rPr>
        <w:t xml:space="preserve">Japan Osaka</w:t>
      </w:r>
      <w:r>
        <w:t xml:space="preserve"> </w:t>
      </w:r>
      <w:r>
        <w:t xml:space="preserve">metropolitan area. The review focuses on the suitability of the Actor model for handling the specific latency, concurrency, and regulatory requirements of the Osaka market. The Osaka region, being a major economic hub with distinct digital infrastructure characteristics, demands a robust, fault-tolerant, and highly responsive system.</w:t>
      </w:r>
    </w:p>
    <w:p>
      <w:pPr>
        <w:pStyle w:val="BodyText"/>
      </w:pPr>
      <w:r>
        <w:t xml:space="preserve">The review concludes that the Actor model is fundamentally sound for this use case, provided that specific optimizations regarding network topology and data residency are implemented. The document details the architectural strengths, potential bottlenecks, and regional compliance considerations necessary for a successful launch in Osaka.</w:t>
      </w:r>
    </w:p>
    <w:bookmarkEnd w:id="20"/>
    <w:bookmarkStart w:id="23" w:name="architectural-assessment-the-actor-model"/>
    <w:p>
      <w:pPr>
        <w:pStyle w:val="Heading2"/>
      </w:pPr>
      <w:r>
        <w:t xml:space="preserve">2. Architectural Assessment: The Actor Model</w:t>
      </w:r>
    </w:p>
    <w:p>
      <w:pPr>
        <w:pStyle w:val="FirstParagraph"/>
      </w:pPr>
      <w:r>
        <w:t xml:space="preserve">The core of the proposed system relies on the</w:t>
      </w:r>
      <w:r>
        <w:t xml:space="preserve"> </w:t>
      </w:r>
      <w:r>
        <w:rPr>
          <w:bCs/>
          <w:b/>
        </w:rPr>
        <w:t xml:space="preserve">Actor</w:t>
      </w:r>
      <w:r>
        <w:t xml:space="preserve"> </w:t>
      </w:r>
      <w:r>
        <w:t xml:space="preserve">model of concurrent computation. In this paradigm, actors are the fundamental units of computation that encapsulate state and behavior, communicating solely through asynchronous message passing. For a deployment in</w:t>
      </w:r>
      <w:r>
        <w:t xml:space="preserve"> </w:t>
      </w:r>
      <w:r>
        <w:rPr>
          <w:bCs/>
          <w:b/>
        </w:rPr>
        <w:t xml:space="preserve">Japan Osaka</w:t>
      </w:r>
      <w:r>
        <w:t xml:space="preserve">, where high-frequency transactions and real-time data processing are critical, this model offers significant advantages over traditional thread-based concurrency.</w:t>
      </w:r>
    </w:p>
    <w:bookmarkStart w:id="21" w:name="concurrency-and-scalability"/>
    <w:p>
      <w:pPr>
        <w:pStyle w:val="Heading3"/>
      </w:pPr>
      <w:r>
        <w:t xml:space="preserve">2.1 Concurrency and Scalability</w:t>
      </w:r>
    </w:p>
    <w:p>
      <w:pPr>
        <w:pStyle w:val="FirstParagraph"/>
      </w:pPr>
      <w:r>
        <w:t xml:space="preserve">The Actor model excels in environments requiring massive concurrency. Given Osaka's dense population and high volume of digital interactions, the system must handle thousands of simultaneous requests without blocking. By utilizing lightweight actors, the system can scale horizontally across the available infrastructure in the Osaka data centers. The review confirms that the current implementation correctly isolates state within actors, preventing race conditions and eliminating the need for complex locking mechanisms.</w:t>
      </w:r>
    </w:p>
    <w:bookmarkEnd w:id="21"/>
    <w:bookmarkStart w:id="22" w:name="fault-tolerance-and-supervision"/>
    <w:p>
      <w:pPr>
        <w:pStyle w:val="Heading3"/>
      </w:pPr>
      <w:r>
        <w:t xml:space="preserve">2.2 Fault Tolerance and Supervision</w:t>
      </w:r>
    </w:p>
    <w:p>
      <w:pPr>
        <w:pStyle w:val="FirstParagraph"/>
      </w:pPr>
      <w:r>
        <w:t xml:space="preserve">A critical aspect of the review is the supervision hierarchy. The Actor system's "let it crash" philosophy, supported by robust supervisors, is ideal for maintaining uptime in a critical market like Osaka. The report verifies that the supervision strategies are correctly configured to restart failed actors without affecting the global state of the application. This ensures that transient network issues or memory leaks in specific actors do not cascade into a system-wide outage.</w:t>
      </w:r>
    </w:p>
    <w:bookmarkEnd w:id="22"/>
    <w:bookmarkEnd w:id="23"/>
    <w:bookmarkStart w:id="26" w:name="X0e8de128b7e0fc31da1a429626e5dabf5ca5b3c"/>
    <w:p>
      <w:pPr>
        <w:pStyle w:val="Heading2"/>
      </w:pPr>
      <w:r>
        <w:t xml:space="preserve">3. Regional Considerations: Japan Osaka Infrastructure</w:t>
      </w:r>
    </w:p>
    <w:p>
      <w:pPr>
        <w:pStyle w:val="FirstParagraph"/>
      </w:pPr>
      <w:r>
        <w:t xml:space="preserve">Deploying an Actor system in</w:t>
      </w:r>
      <w:r>
        <w:t xml:space="preserve"> </w:t>
      </w:r>
      <w:r>
        <w:rPr>
          <w:bCs/>
          <w:b/>
        </w:rPr>
        <w:t xml:space="preserve">Japan Osaka</w:t>
      </w:r>
      <w:r>
        <w:t xml:space="preserve"> </w:t>
      </w:r>
      <w:r>
        <w:t xml:space="preserve">requires careful consideration of the local network topology and infrastructure. Osaka is a primary internet exchange point in Japan, but latency considerations remain paramount when communicating with other regions or global backends.</w:t>
      </w:r>
    </w:p>
    <w:bookmarkStart w:id="24" w:name="latency-and-message-passing"/>
    <w:p>
      <w:pPr>
        <w:pStyle w:val="Heading3"/>
      </w:pPr>
      <w:r>
        <w:t xml:space="preserve">3.1 Latency and Message Passing</w:t>
      </w:r>
    </w:p>
    <w:p>
      <w:pPr>
        <w:pStyle w:val="FirstParagraph"/>
      </w:pPr>
      <w:r>
        <w:t xml:space="preserve">Since actors communicate via messages, network latency directly impacts system performance. The review highlights that actors located within the same physical node in Osaka should prioritize in-memory communication. For distributed actors spanning multiple availability zones within the Osaka region, the serialization overhead must be minimized. The current use of binary serialization protocols is approved, but further optimization is recommended to ensure sub-millisecond response times for local Osaka users.</w:t>
      </w:r>
    </w:p>
    <w:bookmarkEnd w:id="24"/>
    <w:bookmarkStart w:id="25" w:name="data-residency-and-compliance"/>
    <w:p>
      <w:pPr>
        <w:pStyle w:val="Heading3"/>
      </w:pPr>
      <w:r>
        <w:t xml:space="preserve">3.2 Data Residency and Compliance</w:t>
      </w:r>
    </w:p>
    <w:p>
      <w:pPr>
        <w:pStyle w:val="FirstParagraph"/>
      </w:pPr>
      <w:r>
        <w:t xml:space="preserve">Japan has strict data protection laws, including the Act on the Protection of Personal Information (APPI). The Peer Review Report emphasizes that all actors handling personal data must reside physically within the</w:t>
      </w:r>
      <w:r>
        <w:t xml:space="preserve"> </w:t>
      </w:r>
      <w:r>
        <w:rPr>
          <w:bCs/>
          <w:b/>
        </w:rPr>
        <w:t xml:space="preserve">Japan Osaka</w:t>
      </w:r>
      <w:r>
        <w:t xml:space="preserve"> </w:t>
      </w:r>
      <w:r>
        <w:t xml:space="preserve">region or approved Japanese data centers. The architecture must enforce data locality, ensuring that no actor inadvertently routes sensitive data to servers outside of Japan. The review recommends implementing strict routing policies within the Actor system to enforce these geographical boundaries.</w:t>
      </w:r>
    </w:p>
    <w:bookmarkEnd w:id="25"/>
    <w:bookmarkEnd w:id="26"/>
    <w:bookmarkStart w:id="28" w:name="technical-recommendations"/>
    <w:p>
      <w:pPr>
        <w:pStyle w:val="Heading2"/>
      </w:pPr>
      <w:r>
        <w:t xml:space="preserve">4. Technical Recommendations</w:t>
      </w:r>
    </w:p>
    <w:p>
      <w:pPr>
        <w:pStyle w:val="FirstParagraph"/>
      </w:pPr>
      <w:r>
        <w:t xml:space="preserve">Based on the analysis of the</w:t>
      </w:r>
      <w:r>
        <w:t xml:space="preserve"> </w:t>
      </w:r>
      <w:r>
        <w:rPr>
          <w:bCs/>
          <w:b/>
        </w:rPr>
        <w:t xml:space="preserve">Actor</w:t>
      </w:r>
      <w:r>
        <w:t xml:space="preserve"> </w:t>
      </w:r>
      <w:r>
        <w:t xml:space="preserve">implementation and the requirements for</w:t>
      </w:r>
      <w:r>
        <w:t xml:space="preserve"> </w:t>
      </w:r>
      <w:r>
        <w:rPr>
          <w:bCs/>
          <w:b/>
        </w:rPr>
        <w:t xml:space="preserve">Japan Osaka</w:t>
      </w:r>
      <w:r>
        <w:t xml:space="preserve">, the following technical recommendations are made:</w:t>
      </w:r>
    </w:p>
    <w:p>
      <w:pPr>
        <w:numPr>
          <w:ilvl w:val="0"/>
          <w:numId w:val="1001"/>
        </w:numPr>
        <w:pStyle w:val="Compact"/>
      </w:pPr>
      <w:r>
        <w:rPr>
          <w:bCs/>
          <w:b/>
        </w:rPr>
        <w:t xml:space="preserve">Cluster Topology:</w:t>
      </w:r>
      <w:r>
        <w:t xml:space="preserve"> </w:t>
      </w:r>
      <w:r>
        <w:t xml:space="preserve">Configure the Actor cluster to utilize a multi-datacenter setup within the Kansai region to ensure redundancy against local infrastructure failures.</w:t>
      </w:r>
    </w:p>
    <w:p>
      <w:pPr>
        <w:numPr>
          <w:ilvl w:val="0"/>
          <w:numId w:val="1001"/>
        </w:numPr>
        <w:pStyle w:val="Compact"/>
      </w:pPr>
      <w:r>
        <w:rPr>
          <w:bCs/>
          <w:b/>
        </w:rPr>
        <w:t xml:space="preserve">Message Prioritization:</w:t>
      </w:r>
      <w:r>
        <w:t xml:space="preserve"> </w:t>
      </w:r>
      <w:r>
        <w:t xml:space="preserve">Implement priority queues for critical actors to ensure that high-value transactions are processed first, catering to the high expectations of Japanese enterprise clients.</w:t>
      </w:r>
    </w:p>
    <w:p>
      <w:pPr>
        <w:numPr>
          <w:ilvl w:val="0"/>
          <w:numId w:val="1001"/>
        </w:numPr>
        <w:pStyle w:val="Compact"/>
      </w:pPr>
      <w:r>
        <w:rPr>
          <w:bCs/>
          <w:b/>
        </w:rPr>
        <w:t xml:space="preserve">Monitoring:</w:t>
      </w:r>
      <w:r>
        <w:t xml:space="preserve"> </w:t>
      </w:r>
      <w:r>
        <w:t xml:space="preserve">Deploy specialized monitoring tools to track actor lifecycle events, message throughput, and latency specifically for the Osaka node. This will allow for rapid detection of anomalies.</w:t>
      </w:r>
    </w:p>
    <w:p>
      <w:pPr>
        <w:numPr>
          <w:ilvl w:val="0"/>
          <w:numId w:val="1001"/>
        </w:numPr>
        <w:pStyle w:val="Compact"/>
      </w:pPr>
      <w:r>
        <w:rPr>
          <w:bCs/>
          <w:b/>
        </w:rPr>
        <w:t xml:space="preserve">Localization:</w:t>
      </w:r>
      <w:r>
        <w:t xml:space="preserve"> </w:t>
      </w:r>
      <w:r>
        <w:t xml:space="preserve">Ensure that actors responsible for user interaction support full Unicode (UTF-8) and Japanese locale settings to handle complex character sets correctly.</w:t>
      </w:r>
    </w:p>
    <w:bookmarkStart w:id="27" w:name="final-verdict"/>
    <w:p>
      <w:pPr>
        <w:pStyle w:val="Heading3"/>
      </w:pPr>
      <w:r>
        <w:t xml:space="preserve">Final Verdict</w:t>
      </w:r>
    </w:p>
    <w:p>
      <w:pPr>
        <w:pStyle w:val="FirstParagraph"/>
      </w:pPr>
      <w:r>
        <w:t xml:space="preserve">The proposed</w:t>
      </w:r>
      <w:r>
        <w:t xml:space="preserve"> </w:t>
      </w:r>
      <w:r>
        <w:rPr>
          <w:bCs/>
          <w:b/>
        </w:rPr>
        <w:t xml:space="preserve">Actor</w:t>
      </w:r>
      <w:r>
        <w:t xml:space="preserve">-based architecture is approved for deployment in</w:t>
      </w:r>
      <w:r>
        <w:t xml:space="preserve"> </w:t>
      </w:r>
      <w:r>
        <w:rPr>
          <w:bCs/>
          <w:b/>
        </w:rPr>
        <w:t xml:space="preserve">Japan Osaka</w:t>
      </w:r>
      <w:r>
        <w:t xml:space="preserve">, subject to the implementation of the data residency constraints and latency optimizations outlined in this Peer Review Report. The system demonstrates the necessary resilience and scalability to meet the demands of the Osaka market.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System Deployment in Japan Osaka</dc:title>
  <dc:creator/>
  <dc:language>en</dc:language>
  <cp:keywords/>
  <dcterms:created xsi:type="dcterms:W3CDTF">2026-10-10T08:38:05Z</dcterms:created>
  <dcterms:modified xsi:type="dcterms:W3CDTF">2026-10-10T08:38:05Z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