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Review Panel</w:t>
      </w:r>
    </w:p>
    <w:bookmarkEnd w:id="20"/>
    <w:bookmarkStart w:id="21" w:name="introduction"/>
    <w:p>
      <w:pPr>
        <w:pStyle w:val="Heading2"/>
      </w:pPr>
      <w:r>
        <w:t xml:space="preserve">1. Introduction</w:t>
      </w:r>
    </w:p>
    <w:p>
      <w:pPr>
        <w:pStyle w:val="FirstParagraph"/>
      </w:pPr>
      <w:r>
        <w:t xml:space="preserve">This Peer Review Report evaluates the performance, impact, and relevance of the entity referred to as "Actor" within the context of the Netherlands Amsterdam. The review aims to provide a comprehensive analysis of the Actor's contributions, operational effectiveness, and alignment with local standards and expectations. The findings are based on data collected from various stakeholders, including industry experts, community members, and relevant authorities in Amsterdam.</w:t>
      </w:r>
    </w:p>
    <w:bookmarkEnd w:id="21"/>
    <w:bookmarkStart w:id="22" w:name="background"/>
    <w:p>
      <w:pPr>
        <w:pStyle w:val="Heading2"/>
      </w:pPr>
      <w:r>
        <w:t xml:space="preserve">2. Background</w:t>
      </w:r>
    </w:p>
    <w:p>
      <w:pPr>
        <w:pStyle w:val="FirstParagraph"/>
      </w:pPr>
      <w:r>
        <w:t xml:space="preserve">Amsterdam, the capital of the Netherlands, is known for its vibrant cultural scene, innovative business environment, and commitment to sustainability. The Actor, whether an individual, organization, or entity, operates within this dynamic landscape. This report examines how the Actor integrates into the local ecosystem, adheres to Dutch regulations, and contributes to the socio-economic fabric of Amsterdam.</w:t>
      </w:r>
    </w:p>
    <w:bookmarkEnd w:id="22"/>
    <w:bookmarkStart w:id="23" w:name="methodology"/>
    <w:p>
      <w:pPr>
        <w:pStyle w:val="Heading2"/>
      </w:pPr>
      <w:r>
        <w:t xml:space="preserve">3. Methodology</w:t>
      </w:r>
    </w:p>
    <w:p>
      <w:pPr>
        <w:pStyle w:val="FirstParagraph"/>
      </w:pPr>
      <w:r>
        <w:t xml:space="preserve">The Peer Review Report was conducted using a mixed-methods approach, including:</w:t>
      </w:r>
    </w:p>
    <w:p>
      <w:pPr>
        <w:numPr>
          <w:ilvl w:val="0"/>
          <w:numId w:val="1001"/>
        </w:numPr>
        <w:pStyle w:val="Compact"/>
      </w:pPr>
      <w:r>
        <w:t xml:space="preserve">Interviews with key stakeholders in Amsterdam.</w:t>
      </w:r>
    </w:p>
    <w:p>
      <w:pPr>
        <w:numPr>
          <w:ilvl w:val="0"/>
          <w:numId w:val="1001"/>
        </w:numPr>
        <w:pStyle w:val="Compact"/>
      </w:pPr>
      <w:r>
        <w:t xml:space="preserve">Analysis of public records and performance metrics.</w:t>
      </w:r>
    </w:p>
    <w:p>
      <w:pPr>
        <w:numPr>
          <w:ilvl w:val="0"/>
          <w:numId w:val="1001"/>
        </w:numPr>
        <w:pStyle w:val="Compact"/>
      </w:pPr>
      <w:r>
        <w:t xml:space="preserve">Comparison with industry benchmarks in the Netherlands.</w:t>
      </w:r>
    </w:p>
    <w:p>
      <w:pPr>
        <w:numPr>
          <w:ilvl w:val="0"/>
          <w:numId w:val="1001"/>
        </w:numPr>
        <w:pStyle w:val="Compact"/>
      </w:pPr>
      <w:r>
        <w:t xml:space="preserve">Assessment of compliance with local laws and ethical standards.</w:t>
      </w:r>
    </w:p>
    <w:p>
      <w:pPr>
        <w:pStyle w:val="FirstParagraph"/>
      </w:pPr>
      <w:r>
        <w:t xml:space="preserve">This methodology ensures a balanced and objective evaluation of the Actor's activities.</w:t>
      </w:r>
    </w:p>
    <w:bookmarkEnd w:id="23"/>
    <w:bookmarkStart w:id="28" w:name="key-findings"/>
    <w:p>
      <w:pPr>
        <w:pStyle w:val="Heading2"/>
      </w:pPr>
      <w:r>
        <w:t xml:space="preserve">4. Key Findings</w:t>
      </w:r>
    </w:p>
    <w:bookmarkStart w:id="24" w:name="operational-effectiveness"/>
    <w:p>
      <w:pPr>
        <w:pStyle w:val="Heading3"/>
      </w:pPr>
      <w:r>
        <w:t xml:space="preserve">4.1 Operational Effectiveness</w:t>
      </w:r>
    </w:p>
    <w:p>
      <w:pPr>
        <w:pStyle w:val="FirstParagraph"/>
      </w:pPr>
      <w:r>
        <w:t xml:space="preserve">The Actor demonstrates a high level of operational effectiveness in Amsterdam. Processes are streamlined, and there is a clear focus on efficiency. However, there is room for improvement in adapting to the unique cultural nuances of the Netherlands, particularly in communication styles and decision-making processes.</w:t>
      </w:r>
    </w:p>
    <w:bookmarkEnd w:id="24"/>
    <w:bookmarkStart w:id="25" w:name="community-engagement"/>
    <w:p>
      <w:pPr>
        <w:pStyle w:val="Heading3"/>
      </w:pPr>
      <w:r>
        <w:t xml:space="preserve">4.2 Community Engagement</w:t>
      </w:r>
    </w:p>
    <w:p>
      <w:pPr>
        <w:pStyle w:val="FirstParagraph"/>
      </w:pPr>
      <w:r>
        <w:t xml:space="preserve">Engagement with the local community in Amsterdam is moderate. While the Actor has initiated several outreach programs, there is a need for deeper integration with local initiatives, especially those focused on sustainability and social inclusion, which are highly valued in the Netherlands.</w:t>
      </w:r>
    </w:p>
    <w:bookmarkEnd w:id="25"/>
    <w:bookmarkStart w:id="26" w:name="compliance-and-ethics"/>
    <w:p>
      <w:pPr>
        <w:pStyle w:val="Heading3"/>
      </w:pPr>
      <w:r>
        <w:t xml:space="preserve">4.3 Compliance and Ethics</w:t>
      </w:r>
    </w:p>
    <w:p>
      <w:pPr>
        <w:pStyle w:val="FirstParagraph"/>
      </w:pPr>
      <w:r>
        <w:t xml:space="preserve">The Actor adheres to Dutch legal requirements and ethical standards. There are no significant violations reported. However, continuous monitoring is recommended to ensure ongoing compliance, particularly in areas such as data protection and environmental regulations.</w:t>
      </w:r>
    </w:p>
    <w:bookmarkEnd w:id="26"/>
    <w:bookmarkStart w:id="27" w:name="innovation-and-adaptability"/>
    <w:p>
      <w:pPr>
        <w:pStyle w:val="Heading3"/>
      </w:pPr>
      <w:r>
        <w:t xml:space="preserve">4.4 Innovation and Adaptability</w:t>
      </w:r>
    </w:p>
    <w:p>
      <w:pPr>
        <w:pStyle w:val="FirstParagraph"/>
      </w:pPr>
      <w:r>
        <w:t xml:space="preserve">Amsterdam is a hub for innovation, and the Actor shows a willingness to adopt new technologies and practices. Nevertheless, the pace of innovation could be accelerated to keep up with the competitive landscape in the Netherlands.</w:t>
      </w:r>
    </w:p>
    <w:bookmarkEnd w:id="27"/>
    <w:bookmarkEnd w:id="28"/>
    <w:bookmarkStart w:id="29" w:name="strengths"/>
    <w:p>
      <w:pPr>
        <w:pStyle w:val="Heading2"/>
      </w:pPr>
      <w:r>
        <w:t xml:space="preserve">5. Strengths</w:t>
      </w:r>
    </w:p>
    <w:p>
      <w:pPr>
        <w:numPr>
          <w:ilvl w:val="0"/>
          <w:numId w:val="1002"/>
        </w:numPr>
        <w:pStyle w:val="Compact"/>
      </w:pPr>
      <w:r>
        <w:t xml:space="preserve">Strong operational framework and clear objectives.</w:t>
      </w:r>
    </w:p>
    <w:p>
      <w:pPr>
        <w:numPr>
          <w:ilvl w:val="0"/>
          <w:numId w:val="1002"/>
        </w:numPr>
        <w:pStyle w:val="Compact"/>
      </w:pPr>
      <w:r>
        <w:t xml:space="preserve">Commitment to legal and ethical standards in the Netherlands.</w:t>
      </w:r>
    </w:p>
    <w:p>
      <w:pPr>
        <w:numPr>
          <w:ilvl w:val="0"/>
          <w:numId w:val="1002"/>
        </w:numPr>
        <w:pStyle w:val="Compact"/>
      </w:pPr>
      <w:r>
        <w:t xml:space="preserve">Positive reception from certain stakeholder groups in Amsterdam.</w:t>
      </w:r>
    </w:p>
    <w:p>
      <w:pPr>
        <w:numPr>
          <w:ilvl w:val="0"/>
          <w:numId w:val="1002"/>
        </w:numPr>
        <w:pStyle w:val="Compact"/>
      </w:pPr>
      <w:r>
        <w:t xml:space="preserve">Willingness to innovate and adapt to local conditions.</w:t>
      </w:r>
    </w:p>
    <w:bookmarkEnd w:id="29"/>
    <w:bookmarkStart w:id="30" w:name="areas-for-improvement"/>
    <w:p>
      <w:pPr>
        <w:pStyle w:val="Heading2"/>
      </w:pPr>
      <w:r>
        <w:t xml:space="preserve">6. Areas for Improvement</w:t>
      </w:r>
    </w:p>
    <w:p>
      <w:pPr>
        <w:numPr>
          <w:ilvl w:val="0"/>
          <w:numId w:val="1003"/>
        </w:numPr>
        <w:pStyle w:val="Compact"/>
      </w:pPr>
      <w:r>
        <w:t xml:space="preserve">Enhance cultural sensitivity and local engagement strategies.</w:t>
      </w:r>
    </w:p>
    <w:p>
      <w:pPr>
        <w:numPr>
          <w:ilvl w:val="0"/>
          <w:numId w:val="1003"/>
        </w:numPr>
        <w:pStyle w:val="Compact"/>
      </w:pPr>
      <w:r>
        <w:t xml:space="preserve">Strengthen partnerships with Amsterdam-based organizations.</w:t>
      </w:r>
    </w:p>
    <w:p>
      <w:pPr>
        <w:numPr>
          <w:ilvl w:val="0"/>
          <w:numId w:val="1003"/>
        </w:numPr>
        <w:pStyle w:val="Compact"/>
      </w:pPr>
      <w:r>
        <w:t xml:space="preserve">Accelerate innovation efforts to align with Dutch industry trends.</w:t>
      </w:r>
    </w:p>
    <w:p>
      <w:pPr>
        <w:numPr>
          <w:ilvl w:val="0"/>
          <w:numId w:val="1003"/>
        </w:numPr>
        <w:pStyle w:val="Compact"/>
      </w:pPr>
      <w:r>
        <w:t xml:space="preserve">Improve transparency in reporting and communication with stakeholders.</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 for the Actor operating in Netherlands Amsterdam:</w:t>
      </w:r>
    </w:p>
    <w:p>
      <w:pPr>
        <w:numPr>
          <w:ilvl w:val="0"/>
          <w:numId w:val="1004"/>
        </w:numPr>
        <w:pStyle w:val="Compact"/>
      </w:pPr>
      <w:r>
        <w:t xml:space="preserve">Develop a localized engagement strategy that reflects the values and expectations of Amsterdam residents.</w:t>
      </w:r>
    </w:p>
    <w:p>
      <w:pPr>
        <w:numPr>
          <w:ilvl w:val="0"/>
          <w:numId w:val="1004"/>
        </w:numPr>
        <w:pStyle w:val="Compact"/>
      </w:pPr>
      <w:r>
        <w:t xml:space="preserve">Invest in training programs to enhance cultural competence among staff.</w:t>
      </w:r>
    </w:p>
    <w:p>
      <w:pPr>
        <w:numPr>
          <w:ilvl w:val="0"/>
          <w:numId w:val="1004"/>
        </w:numPr>
        <w:pStyle w:val="Compact"/>
      </w:pPr>
      <w:r>
        <w:t xml:space="preserve">Collaborate with local innovation hubs and universities to foster cutting-edge solutions.</w:t>
      </w:r>
    </w:p>
    <w:p>
      <w:pPr>
        <w:numPr>
          <w:ilvl w:val="0"/>
          <w:numId w:val="1004"/>
        </w:numPr>
        <w:pStyle w:val="Compact"/>
      </w:pPr>
      <w:r>
        <w:t xml:space="preserve">Establish a regular review process to ensure ongoing compliance and ethical alignment.</w:t>
      </w:r>
    </w:p>
    <w:bookmarkEnd w:id="31"/>
    <w:bookmarkStart w:id="32" w:name="conclusion"/>
    <w:p>
      <w:pPr>
        <w:pStyle w:val="Heading2"/>
      </w:pPr>
      <w:r>
        <w:t xml:space="preserve">8. Conclusion</w:t>
      </w:r>
    </w:p>
    <w:p>
      <w:pPr>
        <w:pStyle w:val="FirstParagraph"/>
      </w:pPr>
      <w:r>
        <w:t xml:space="preserve">This Peer Review Report provides a detailed assessment of the Actor's performance in the Netherlands Amsterdam. While the Actor shows promise and adheres to key standards, there are clear opportunities for improvement in community engagement, cultural integration, and innovation. By addressing these areas, the Actor can enhance its impact and contribute more effectively to the vibrant ecosystem of Amsterdam.</w:t>
      </w:r>
    </w:p>
    <w:bookmarkEnd w:id="32"/>
    <w:bookmarkStart w:id="33" w:name="appendices"/>
    <w:p>
      <w:pPr>
        <w:pStyle w:val="Heading2"/>
      </w:pPr>
      <w:r>
        <w:t xml:space="preserve">9. Appendices</w:t>
      </w:r>
    </w:p>
    <w:p>
      <w:pPr>
        <w:pStyle w:val="FirstParagraph"/>
      </w:pPr>
      <w:r>
        <w:t xml:space="preserve">For further details, please refer to the following appendices:</w:t>
      </w:r>
    </w:p>
    <w:p>
      <w:pPr>
        <w:numPr>
          <w:ilvl w:val="0"/>
          <w:numId w:val="1005"/>
        </w:numPr>
        <w:pStyle w:val="Compact"/>
      </w:pPr>
      <w:r>
        <w:t xml:space="preserve">Appendix A: Stakeholder Interview Summaries</w:t>
      </w:r>
    </w:p>
    <w:p>
      <w:pPr>
        <w:numPr>
          <w:ilvl w:val="0"/>
          <w:numId w:val="1005"/>
        </w:numPr>
        <w:pStyle w:val="Compact"/>
      </w:pPr>
      <w:r>
        <w:t xml:space="preserve">Appendix B: Performance Metrics and Data Analysis</w:t>
      </w:r>
    </w:p>
    <w:p>
      <w:pPr>
        <w:numPr>
          <w:ilvl w:val="0"/>
          <w:numId w:val="1005"/>
        </w:numPr>
        <w:pStyle w:val="Compact"/>
      </w:pPr>
      <w:r>
        <w:t xml:space="preserve">Appendix C: Regulatory Compliance Checklist</w:t>
      </w:r>
    </w:p>
    <w:bookmarkEnd w:id="33"/>
    <w:bookmarkStart w:id="34" w:name="signatures"/>
    <w:p>
      <w:pPr>
        <w:pStyle w:val="Heading2"/>
      </w:pPr>
      <w:r>
        <w:t xml:space="preserve">10.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Lead Reviewer</w:t>
            </w:r>
          </w:p>
        </w:tc>
        <w:tc>
          <w:tcPr/>
          <w:p>
            <w:pPr>
              <w:pStyle w:val="Compact"/>
              <w:jc w:val="left"/>
            </w:pPr>
            <w:r>
              <w:t xml:space="preserve">[Signature]</w:t>
            </w:r>
          </w:p>
        </w:tc>
        <w:tc>
          <w:tcPr/>
          <w:p>
            <w:pPr>
              <w:pStyle w:val="Compact"/>
              <w:jc w:val="left"/>
            </w:pPr>
            <w:r>
              <w:t xml:space="preserve">October 2023</w:t>
            </w:r>
          </w:p>
        </w:tc>
      </w:tr>
      <w:tr>
        <w:tc>
          <w:tcPr/>
          <w:p>
            <w:pPr>
              <w:pStyle w:val="Compact"/>
              <w:jc w:val="left"/>
            </w:pPr>
            <w:r>
              <w:t xml:space="preserve">Jane Smith</w:t>
            </w:r>
          </w:p>
        </w:tc>
        <w:tc>
          <w:tcPr/>
          <w:p>
            <w:pPr>
              <w:pStyle w:val="Compact"/>
              <w:jc w:val="left"/>
            </w:pPr>
            <w:r>
              <w:t xml:space="preserve">Co-Reviewer</w:t>
            </w:r>
          </w:p>
        </w:tc>
        <w:tc>
          <w:tcPr/>
          <w:p>
            <w:pPr>
              <w:pStyle w:val="Compact"/>
              <w:jc w:val="left"/>
            </w:pPr>
            <w:r>
              <w:t xml:space="preserve">[Signature]</w:t>
            </w:r>
          </w:p>
        </w:tc>
        <w:tc>
          <w:tcPr/>
          <w:p>
            <w:pPr>
              <w:pStyle w:val="Compact"/>
              <w:jc w:val="left"/>
            </w:pPr>
            <w:r>
              <w:t xml:space="preserve">October 2023</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Netherlands Amsterdam</dc:title>
  <dc:creator/>
  <dc:language>en</dc:language>
  <cp:keywords/>
  <dcterms:created xsi:type="dcterms:W3CDTF">2026-10-10T02:42:17Z</dcterms:created>
  <dcterms:modified xsi:type="dcterms:W3CDTF">2026-10-10T02:42:17Z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