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Tashkent,</w:t>
      </w:r>
      <w:r>
        <w:t xml:space="preserve"> </w:t>
      </w:r>
      <w:r>
        <w:t xml:space="preserve">Uzbekistan</w:t>
      </w:r>
    </w:p>
    <w:bookmarkStart w:id="29" w:name="Xa5434a3c5c3e1f15d546f9b6b675448be5397ff"/>
    <w:p>
      <w:pPr>
        <w:pStyle w:val="Heading1"/>
      </w:pPr>
      <w:r>
        <w:t xml:space="preserve">Peer Review Report: Actor Framework Implementation</w:t>
      </w:r>
    </w:p>
    <w:p>
      <w:pPr>
        <w:pStyle w:val="FirstParagraph"/>
      </w:pPr>
      <w:r>
        <w:rPr>
          <w:bCs/>
          <w:b/>
        </w:rPr>
        <w:t xml:space="preserve">Project Title:</w:t>
      </w:r>
      <w:r>
        <w:t xml:space="preserve"> </w:t>
      </w:r>
      <w:r>
        <w:t xml:space="preserve">Scalable Microservices Architecture for Digital Services in Uzbekistan</w:t>
      </w:r>
    </w:p>
    <w:p>
      <w:pPr>
        <w:pStyle w:val="BodyText"/>
      </w:pPr>
      <w:r>
        <w:rPr>
          <w:bCs/>
          <w:b/>
        </w:rPr>
        <w:t xml:space="preserve">Location Context:</w:t>
      </w:r>
      <w:r>
        <w:t xml:space="preserve"> </w:t>
      </w:r>
      <w:r>
        <w:t xml:space="preserve">Tashkent, Uzbekistan</w:t>
      </w:r>
    </w:p>
    <w:p>
      <w:pPr>
        <w:pStyle w:val="BodyText"/>
      </w:pPr>
      <w:r>
        <w:rPr>
          <w:bCs/>
          <w:b/>
        </w:rPr>
        <w:t xml:space="preserve">Technology Stack:</w:t>
      </w:r>
      <w:r>
        <w:t xml:space="preserve"> </w:t>
      </w:r>
      <w:r>
        <w:t xml:space="preserve">Actor Model (Akka.NET / Orleans / Custom Implementation)</w:t>
      </w:r>
    </w:p>
    <w:p>
      <w:pPr>
        <w:pStyle w:val="BodyText"/>
      </w:pPr>
      <w:r>
        <w:rPr>
          <w:bCs/>
          <w:b/>
        </w:rPr>
        <w:t xml:space="preserve">Review Date:</w:t>
      </w:r>
      <w:r>
        <w:t xml:space="preserve"> </w:t>
      </w:r>
      <w:r>
        <w:t xml:space="preserve">October 24, 2023</w:t>
      </w:r>
    </w:p>
    <w:p>
      <w:pPr>
        <w:pStyle w:val="BodyText"/>
      </w:pPr>
      <w:r>
        <w:rPr>
          <w:bCs/>
          <w:b/>
        </w:rPr>
        <w:t xml:space="preserve">Reviewers:</w:t>
      </w:r>
      <w:r>
        <w:t xml:space="preserve"> </w:t>
      </w:r>
      <w:r>
        <w:t xml:space="preserve">Senior Architecture Board, Central Asia Tech Division</w:t>
      </w:r>
    </w:p>
    <w:p>
      <w:pPr>
        <w:pStyle w:val="BodyText"/>
      </w:pPr>
      <w:r>
        <w:rPr>
          <w:bCs/>
          <w:b/>
        </w:rPr>
        <w:t xml:space="preserve">Status:</w:t>
      </w:r>
      <w:r>
        <w:t xml:space="preserve"> </w:t>
      </w:r>
      <w:r>
        <w:t xml:space="preserve">Approved with Recommendations</w:t>
      </w:r>
    </w:p>
    <w:bookmarkStart w:id="20" w:name="executive-summary"/>
    <w:p>
      <w:pPr>
        <w:pStyle w:val="Heading2"/>
      </w:pPr>
      <w:r>
        <w:t xml:space="preserve">1. Executive Summary</w:t>
      </w:r>
    </w:p>
    <w:p>
      <w:pPr>
        <w:pStyle w:val="FirstParagraph"/>
      </w:pPr>
      <w:r>
        <w:t xml:space="preserve">This Peer Review Report evaluates the proposed architectural decision to utilize the</w:t>
      </w:r>
      <w:r>
        <w:t xml:space="preserve"> </w:t>
      </w:r>
      <w:r>
        <w:rPr>
          <w:bCs/>
          <w:b/>
        </w:rPr>
        <w:t xml:space="preserve">Actor</w:t>
      </w:r>
      <w:r>
        <w:t xml:space="preserve"> </w:t>
      </w:r>
      <w:r>
        <w:t xml:space="preserve">model for the development of high-concurrency digital services intended for deployment in</w:t>
      </w:r>
      <w:r>
        <w:t xml:space="preserve"> </w:t>
      </w:r>
      <w:r>
        <w:rPr>
          <w:bCs/>
          <w:b/>
        </w:rPr>
        <w:t xml:space="preserve">Tashkent, Uzbekistan</w:t>
      </w:r>
      <w:r>
        <w:t xml:space="preserve">. The project aims to modernize legacy systems within the rapidly growing tech ecosystem of Uzbekistan, specifically targeting real-time data processing, financial transactions, and government service portals.</w:t>
      </w:r>
    </w:p>
    <w:p>
      <w:pPr>
        <w:pStyle w:val="BodyText"/>
      </w:pPr>
      <w:r>
        <w:t xml:space="preserve">The review panel has analyzed the technical feasibility, scalability, and operational requirements of implementing an Actor-based system in the specific infrastructural and regulatory context of Tashkent. The consensus is that the Actor model is highly suitable for the stated goals, provided that specific localization strategies and infrastructure constraints are addressed.</w:t>
      </w:r>
    </w:p>
    <w:bookmarkEnd w:id="20"/>
    <w:bookmarkStart w:id="21" w:name="X69026d8879f4b89aca373525e616408439edcb8"/>
    <w:p>
      <w:pPr>
        <w:pStyle w:val="Heading2"/>
      </w:pPr>
      <w:r>
        <w:t xml:space="preserve">2. Contextual Analysis: Tashkent and Uzbekistan</w:t>
      </w:r>
    </w:p>
    <w:p>
      <w:pPr>
        <w:pStyle w:val="FirstParagraph"/>
      </w:pPr>
      <w:r>
        <w:t xml:space="preserve">The digital landscape in</w:t>
      </w:r>
      <w:r>
        <w:t xml:space="preserve"> </w:t>
      </w:r>
      <w:r>
        <w:rPr>
          <w:bCs/>
          <w:b/>
        </w:rPr>
        <w:t xml:space="preserve">Uzbekistan</w:t>
      </w:r>
      <w:r>
        <w:t xml:space="preserve">, particularly in the capital city of</w:t>
      </w:r>
      <w:r>
        <w:t xml:space="preserve"> </w:t>
      </w:r>
      <w:r>
        <w:rPr>
          <w:bCs/>
          <w:b/>
        </w:rPr>
        <w:t xml:space="preserve">Tashkent</w:t>
      </w:r>
      <w:r>
        <w:t xml:space="preserve">, is undergoing a significant transformation. The government's push for digitalization, exemplified by initiatives like "Digital Uzbekistan," has created a demand for robust, scalable, and secure software solutions. Tashkent is emerging as a regional tech hub, attracting both local startups and international investment.</w:t>
      </w:r>
    </w:p>
    <w:p>
      <w:pPr>
        <w:pStyle w:val="BodyText"/>
      </w:pPr>
      <w:r>
        <w:t xml:space="preserve">However, deploying advanced architectural patterns like the Actor model in this region requires careful consideration of several factors:</w:t>
      </w:r>
    </w:p>
    <w:p>
      <w:pPr>
        <w:numPr>
          <w:ilvl w:val="0"/>
          <w:numId w:val="1001"/>
        </w:numPr>
        <w:pStyle w:val="Compact"/>
      </w:pPr>
      <w:r>
        <w:rPr>
          <w:bCs/>
          <w:b/>
        </w:rPr>
        <w:t xml:space="preserve">Infrastructure Maturity:</w:t>
      </w:r>
      <w:r>
        <w:t xml:space="preserve"> </w:t>
      </w:r>
      <w:r>
        <w:t xml:space="preserve">While data centers in Tashkent are improving, network latency and connectivity stability can vary. The Actor model's resilience to partial failures is a significant advantage here.</w:t>
      </w:r>
    </w:p>
    <w:p>
      <w:pPr>
        <w:numPr>
          <w:ilvl w:val="0"/>
          <w:numId w:val="1001"/>
        </w:numPr>
        <w:pStyle w:val="Compact"/>
      </w:pPr>
      <w:r>
        <w:rPr>
          <w:bCs/>
          <w:b/>
        </w:rPr>
        <w:t xml:space="preserve">Talent Pool:</w:t>
      </w:r>
      <w:r>
        <w:t xml:space="preserve"> </w:t>
      </w:r>
      <w:r>
        <w:t xml:space="preserve">The availability of developers experienced with Actor-based frameworks (such as Akka, Erlang/Elixir, or Orleans) in Tashkent is growing but remains limited compared to traditional MVC or monolithic architectures. Training and knowledge transfer are critical.</w:t>
      </w:r>
    </w:p>
    <w:p>
      <w:pPr>
        <w:numPr>
          <w:ilvl w:val="0"/>
          <w:numId w:val="1001"/>
        </w:numPr>
        <w:pStyle w:val="Compact"/>
      </w:pPr>
      <w:r>
        <w:rPr>
          <w:bCs/>
          <w:b/>
        </w:rPr>
        <w:t xml:space="preserve">Regulatory Compliance:</w:t>
      </w:r>
      <w:r>
        <w:t xml:space="preserve"> </w:t>
      </w:r>
      <w:r>
        <w:t xml:space="preserve">Data sovereignty laws in Uzbekistan require that citizen data be stored locally. The distributed nature of Actor systems must be configured to ensure all stateful actors reside within approved data centers in Tashkent.</w:t>
      </w:r>
    </w:p>
    <w:bookmarkEnd w:id="21"/>
    <w:bookmarkStart w:id="25" w:name="technical-evaluation-of-the-actor-model"/>
    <w:p>
      <w:pPr>
        <w:pStyle w:val="Heading2"/>
      </w:pPr>
      <w:r>
        <w:t xml:space="preserve">3. Technical Evaluation of the Actor Model</w:t>
      </w:r>
    </w:p>
    <w:p>
      <w:pPr>
        <w:pStyle w:val="FirstParagraph"/>
      </w:pPr>
      <w:r>
        <w:t xml:space="preserve">The core of this review focuses on the suitability of the</w:t>
      </w:r>
      <w:r>
        <w:t xml:space="preserve"> </w:t>
      </w:r>
      <w:r>
        <w:rPr>
          <w:bCs/>
          <w:b/>
        </w:rPr>
        <w:t xml:space="preserve">Actor</w:t>
      </w:r>
      <w:r>
        <w:t xml:space="preserve"> </w:t>
      </w:r>
      <w:r>
        <w:t xml:space="preserve">paradigm for the project's requirements. The Actor model is a computational model used to address concurrent computation in distributed systems. Each actor is an independent unit of computation that communicates solely by message passing.</w:t>
      </w:r>
    </w:p>
    <w:bookmarkStart w:id="22" w:name="concurrency-and-scalability"/>
    <w:p>
      <w:pPr>
        <w:pStyle w:val="Heading3"/>
      </w:pPr>
      <w:r>
        <w:t xml:space="preserve">3.1 Concurrency and Scalability</w:t>
      </w:r>
    </w:p>
    <w:p>
      <w:pPr>
        <w:pStyle w:val="FirstParagraph"/>
      </w:pPr>
      <w:r>
        <w:t xml:space="preserve">One of the primary drivers for choosing the Actor model is its ability to handle massive concurrency. In the context of Tashkent's growing user base, applications such as mobile banking, e-government services, and ride-sharing platforms require systems that can handle thousands of simultaneous requests without degradation.</w:t>
      </w:r>
    </w:p>
    <w:p>
      <w:pPr>
        <w:pStyle w:val="BodyText"/>
      </w:pPr>
      <w:r>
        <w:t xml:space="preserve">Unlike traditional thread-per-request models, which can lead to resource exhaustion and complex locking mechanisms, actors encapsulate state and behavior. This isolation prevents race conditions and simplifies the development of highly concurrent systems. The review panel confirms that this approach is ideal for the high-traffic scenarios anticipated in Uzbekistan's digital economy.</w:t>
      </w:r>
    </w:p>
    <w:bookmarkEnd w:id="22"/>
    <w:bookmarkStart w:id="23" w:name="fault-tolerance-and-resilience"/>
    <w:p>
      <w:pPr>
        <w:pStyle w:val="Heading3"/>
      </w:pPr>
      <w:r>
        <w:t xml:space="preserve">3.2 Fault Tolerance and Resilience</w:t>
      </w:r>
    </w:p>
    <w:p>
      <w:pPr>
        <w:pStyle w:val="FirstParagraph"/>
      </w:pPr>
      <w:r>
        <w:t xml:space="preserve">The "let it crash" philosophy inherent in many Actor frameworks is particularly relevant for deployments in regions where infrastructure may experience intermittent issues. By organizing actors into supervision hierarchies, the system can automatically detect failures and restart affected components without bringing down the entire application.</w:t>
      </w:r>
    </w:p>
    <w:p>
      <w:pPr>
        <w:pStyle w:val="BodyText"/>
      </w:pPr>
      <w:r>
        <w:t xml:space="preserve">For a mission-critical system in Tashkent, this level of resilience is not just a technical benefit but a business necessity. It ensures continuous service availability even during network fluctuations or hardware failures in local data centers.</w:t>
      </w:r>
    </w:p>
    <w:bookmarkEnd w:id="23"/>
    <w:bookmarkStart w:id="24" w:name="distributed-systems-management"/>
    <w:p>
      <w:pPr>
        <w:pStyle w:val="Heading3"/>
      </w:pPr>
      <w:r>
        <w:t xml:space="preserve">3.3 Distributed Systems Management</w:t>
      </w:r>
    </w:p>
    <w:p>
      <w:pPr>
        <w:pStyle w:val="FirstParagraph"/>
      </w:pPr>
      <w:r>
        <w:t xml:space="preserve">As the project scales, it will likely need to span multiple servers or even multiple data centers within Uzbekistan. The Actor model abstracts away the complexities of distributed computing. Actors can be located on the same machine or across different nodes, and the communication mechanism remains consistent.</w:t>
      </w:r>
    </w:p>
    <w:p>
      <w:pPr>
        <w:pStyle w:val="BodyText"/>
      </w:pPr>
      <w:r>
        <w:t xml:space="preserve">This abstraction simplifies the deployment strategy and allows for horizontal scaling, which is cost-effective and aligns with the cloud-native trends adopted by many tech companies in Tashkent.</w:t>
      </w:r>
    </w:p>
    <w:bookmarkEnd w:id="24"/>
    <w:bookmarkEnd w:id="25"/>
    <w:bookmarkStart w:id="26" w:name="Xfbbd36652d12f5e728562b0f63592b46075d08a"/>
    <w:p>
      <w:pPr>
        <w:pStyle w:val="Heading2"/>
      </w:pPr>
      <w:r>
        <w:t xml:space="preserve">4. Identified Risks and Mitigation Strategies</w:t>
      </w:r>
    </w:p>
    <w:p>
      <w:pPr>
        <w:pStyle w:val="FirstParagraph"/>
      </w:pPr>
      <w:r>
        <w:t xml:space="preserve">While the Actor model offers significant advantages, the review panel has identified several risks that must be mitigated:</w:t>
      </w:r>
    </w:p>
    <w:p>
      <w:pPr>
        <w:numPr>
          <w:ilvl w:val="0"/>
          <w:numId w:val="1002"/>
        </w:numPr>
        <w:pStyle w:val="Compact"/>
      </w:pPr>
      <w:r>
        <w:rPr>
          <w:bCs/>
          <w:b/>
        </w:rPr>
        <w:t xml:space="preserve">Learning Curve:</w:t>
      </w:r>
      <w:r>
        <w:t xml:space="preserve"> </w:t>
      </w:r>
      <w:r>
        <w:t xml:space="preserve">The mental shift required to think in terms of actors and message passing can be challenging for developers accustomed to imperative programming.</w:t>
      </w:r>
      <w:r>
        <w:t xml:space="preserve"> </w:t>
      </w:r>
      <w:r>
        <w:rPr>
          <w:iCs/>
          <w:i/>
        </w:rPr>
        <w:t xml:space="preserve">Mitigation:</w:t>
      </w:r>
      <w:r>
        <w:t xml:space="preserve"> </w:t>
      </w:r>
      <w:r>
        <w:t xml:space="preserve">Implement a structured training program and pair experienced architects with local developers in Tashkent.</w:t>
      </w:r>
    </w:p>
    <w:p>
      <w:pPr>
        <w:numPr>
          <w:ilvl w:val="0"/>
          <w:numId w:val="1002"/>
        </w:numPr>
        <w:pStyle w:val="Compact"/>
      </w:pPr>
      <w:r>
        <w:rPr>
          <w:bCs/>
          <w:b/>
        </w:rPr>
        <w:t xml:space="preserve">Debugging Complexity:</w:t>
      </w:r>
      <w:r>
        <w:t xml:space="preserve"> </w:t>
      </w:r>
      <w:r>
        <w:t xml:space="preserve">Distributed Actor systems can be difficult to debug due to their asynchronous and non-deterministic nature.</w:t>
      </w:r>
      <w:r>
        <w:t xml:space="preserve"> </w:t>
      </w:r>
      <w:r>
        <w:rPr>
          <w:iCs/>
          <w:i/>
        </w:rPr>
        <w:t xml:space="preserve">Mitigation:</w:t>
      </w:r>
      <w:r>
        <w:t xml:space="preserve"> </w:t>
      </w:r>
      <w:r>
        <w:t xml:space="preserve">Invest in robust observability tools, including distributed tracing and logging, tailored for Actor-based systems.</w:t>
      </w:r>
    </w:p>
    <w:p>
      <w:pPr>
        <w:numPr>
          <w:ilvl w:val="0"/>
          <w:numId w:val="1002"/>
        </w:numPr>
        <w:pStyle w:val="Compact"/>
      </w:pPr>
      <w:r>
        <w:rPr>
          <w:bCs/>
          <w:b/>
        </w:rPr>
        <w:t xml:space="preserve">Message Ordering and Consistency:</w:t>
      </w:r>
      <w:r>
        <w:t xml:space="preserve"> </w:t>
      </w:r>
      <w:r>
        <w:t xml:space="preserve">Ensuring strict message ordering in a distributed environment can be complex.</w:t>
      </w:r>
      <w:r>
        <w:t xml:space="preserve"> </w:t>
      </w:r>
      <w:r>
        <w:rPr>
          <w:iCs/>
          <w:i/>
        </w:rPr>
        <w:t xml:space="preserve">Mitigation:</w:t>
      </w:r>
      <w:r>
        <w:t xml:space="preserve"> </w:t>
      </w:r>
      <w:r>
        <w:t xml:space="preserve">Design the system with eventual consistency in mind where possible, and use persistent actors for critical state management.</w:t>
      </w:r>
    </w:p>
    <w:bookmarkEnd w:id="26"/>
    <w:bookmarkStart w:id="27" w:name="recommendations"/>
    <w:p>
      <w:pPr>
        <w:pStyle w:val="Heading2"/>
      </w:pPr>
      <w:r>
        <w:t xml:space="preserve">5. Recommendations</w:t>
      </w:r>
    </w:p>
    <w:p>
      <w:pPr>
        <w:pStyle w:val="FirstParagraph"/>
      </w:pPr>
      <w:r>
        <w:t xml:space="preserve">Based on the comprehensive evaluation, the Peer Review Panel provides the following recommendations for the implementation of the Actor framework in Uzbekistan:</w:t>
      </w:r>
    </w:p>
    <w:p>
      <w:pPr>
        <w:numPr>
          <w:ilvl w:val="0"/>
          <w:numId w:val="1003"/>
        </w:numPr>
        <w:pStyle w:val="Compact"/>
      </w:pPr>
      <w:r>
        <w:rPr>
          <w:bCs/>
          <w:b/>
        </w:rPr>
        <w:t xml:space="preserve">Start with a Pilot:</w:t>
      </w:r>
      <w:r>
        <w:t xml:space="preserve"> </w:t>
      </w:r>
      <w:r>
        <w:t xml:space="preserve">Begin with a non-critical module to validate the architecture and build team expertise before scaling to core services.</w:t>
      </w:r>
    </w:p>
    <w:p>
      <w:pPr>
        <w:numPr>
          <w:ilvl w:val="0"/>
          <w:numId w:val="1003"/>
        </w:numPr>
        <w:pStyle w:val="Compact"/>
      </w:pPr>
      <w:r>
        <w:rPr>
          <w:bCs/>
          <w:b/>
        </w:rPr>
        <w:t xml:space="preserve">Localize Infrastructure:</w:t>
      </w:r>
      <w:r>
        <w:t xml:space="preserve"> </w:t>
      </w:r>
      <w:r>
        <w:t xml:space="preserve">Ensure that all Actor nodes are deployed within compliant data centers in Tashkent to meet Uzbekistan's data residency requirements.</w:t>
      </w:r>
    </w:p>
    <w:p>
      <w:pPr>
        <w:numPr>
          <w:ilvl w:val="0"/>
          <w:numId w:val="1003"/>
        </w:numPr>
        <w:pStyle w:val="Compact"/>
      </w:pPr>
      <w:r>
        <w:rPr>
          <w:bCs/>
          <w:b/>
        </w:rPr>
        <w:t xml:space="preserve">Invest in Documentation:</w:t>
      </w:r>
      <w:r>
        <w:t xml:space="preserve"> </w:t>
      </w:r>
      <w:r>
        <w:t xml:space="preserve">Create detailed architectural documentation and coding standards specific to the Actor model to facilitate onboarding and maintenance.</w:t>
      </w:r>
    </w:p>
    <w:p>
      <w:pPr>
        <w:numPr>
          <w:ilvl w:val="0"/>
          <w:numId w:val="1003"/>
        </w:numPr>
        <w:pStyle w:val="Compact"/>
      </w:pPr>
      <w:r>
        <w:rPr>
          <w:bCs/>
          <w:b/>
        </w:rPr>
        <w:t xml:space="preserve">Monitor Performance:</w:t>
      </w:r>
      <w:r>
        <w:t xml:space="preserve"> </w:t>
      </w:r>
      <w:r>
        <w:t xml:space="preserve">Implement continuous monitoring to track actor performance, message throughput, and system latency, adjusting configurations as needed.</w:t>
      </w:r>
    </w:p>
    <w:p>
      <w:pPr>
        <w:pStyle w:val="FirstParagraph"/>
      </w:pPr>
      <w:r>
        <w:t xml:space="preserve">9/10</w:t>
      </w:r>
    </w:p>
    <w:p>
      <w:pPr>
        <w:pStyle w:val="BodyText"/>
      </w:pPr>
      <w:r>
        <w:t xml:space="preserve">Technical Fit</w:t>
      </w:r>
    </w:p>
    <w:p>
      <w:pPr>
        <w:pStyle w:val="BodyText"/>
      </w:pPr>
      <w:r>
        <w:t xml:space="preserve">8/10</w:t>
      </w:r>
    </w:p>
    <w:p>
      <w:pPr>
        <w:pStyle w:val="BodyText"/>
      </w:pPr>
      <w:r>
        <w:t xml:space="preserve">Scalability</w:t>
      </w:r>
    </w:p>
    <w:p>
      <w:pPr>
        <w:pStyle w:val="BodyText"/>
      </w:pPr>
      <w:r>
        <w:t xml:space="preserve">7/10</w:t>
      </w:r>
    </w:p>
    <w:p>
      <w:pPr>
        <w:pStyle w:val="BodyText"/>
      </w:pPr>
      <w:r>
        <w:t xml:space="preserve">Team Readiness</w:t>
      </w:r>
    </w:p>
    <w:p>
      <w:pPr>
        <w:pStyle w:val="BodyText"/>
      </w:pPr>
      <w:r>
        <w:t xml:space="preserve">9/10</w:t>
      </w:r>
    </w:p>
    <w:p>
      <w:pPr>
        <w:pStyle w:val="BodyText"/>
      </w:pPr>
      <w:r>
        <w:t xml:space="preserve">Future-Proofing</w:t>
      </w:r>
    </w:p>
    <w:bookmarkEnd w:id="27"/>
    <w:bookmarkStart w:id="28" w:name="conclusion"/>
    <w:p>
      <w:pPr>
        <w:pStyle w:val="Heading2"/>
      </w:pPr>
      <w:r>
        <w:t xml:space="preserve">6. Conclusion</w:t>
      </w:r>
    </w:p>
    <w:p>
      <w:pPr>
        <w:pStyle w:val="FirstParagraph"/>
      </w:pPr>
      <w:r>
        <w:t xml:space="preserve">The Peer Review Report concludes that the adoption of the</w:t>
      </w:r>
      <w:r>
        <w:t xml:space="preserve"> </w:t>
      </w:r>
      <w:r>
        <w:rPr>
          <w:bCs/>
          <w:b/>
        </w:rPr>
        <w:t xml:space="preserve">Actor</w:t>
      </w:r>
      <w:r>
        <w:t xml:space="preserve"> </w:t>
      </w:r>
      <w:r>
        <w:t xml:space="preserve">model for software development in</w:t>
      </w:r>
      <w:r>
        <w:t xml:space="preserve"> </w:t>
      </w:r>
      <w:r>
        <w:rPr>
          <w:bCs/>
          <w:b/>
        </w:rPr>
        <w:t xml:space="preserve">Tashkent, Uzbekistan</w:t>
      </w:r>
      <w:r>
        <w:t xml:space="preserve"> </w:t>
      </w:r>
      <w:r>
        <w:t xml:space="preserve">is a strategically sound decision. It aligns with the country's digital transformation goals and provides the technical foundation needed to build scalable, resilient, and high-performance applications. By addressing the identified risks through targeted training, infrastructure planning, and robust monitoring, the project is well-positioned for success. The panel recommends proceeding with the implementation as outlined, with a focus on gradual adoption and continuous improvement.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Tashkent, Uzbekistan</dc:title>
  <dc:creator/>
  <dc:language>en</dc:language>
  <cp:keywords/>
  <dcterms:created xsi:type="dcterms:W3CDTF">2026-10-10T02:02:57Z</dcterms:created>
  <dcterms:modified xsi:type="dcterms:W3CDTF">2026-10-10T02:02:57Z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