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 of Review</w:t>
            </w:r>
          </w:p>
        </w:tc>
        <w:tc>
          <w:tcPr/>
          <w:p>
            <w:pPr>
              <w:pStyle w:val="Compact"/>
              <w:jc w:val="left"/>
            </w:pPr>
            <w:r>
              <w:t xml:space="preserve">Aerospace Engineer</w:t>
            </w:r>
          </w:p>
        </w:tc>
      </w:tr>
      <w:tr>
        <w:tc>
          <w:tcPr/>
          <w:p>
            <w:pPr>
              <w:pStyle w:val="Compact"/>
              <w:jc w:val="left"/>
            </w:pPr>
            <w:r>
              <w:t xml:space="preserve">Location of Operation</w:t>
            </w:r>
          </w:p>
        </w:tc>
        <w:tc>
          <w:tcPr/>
          <w:p>
            <w:pPr>
              <w:pStyle w:val="Compact"/>
              <w:jc w:val="left"/>
            </w:pPr>
            <w:r>
              <w:t xml:space="preserve">Germany Munich</w:t>
            </w:r>
          </w:p>
        </w:tc>
      </w:tr>
      <w:tr>
        <w:tc>
          <w:tcPr/>
          <w:p>
            <w:pPr>
              <w:pStyle w:val="Compact"/>
              <w:jc w:val="left"/>
            </w:pPr>
            <w:r>
              <w:t xml:space="preserve">Date of Report</w:t>
            </w:r>
          </w:p>
        </w:tc>
        <w:tc>
          <w:tcPr/>
          <w:p>
            <w:pPr>
              <w:pStyle w:val="Compact"/>
              <w:jc w:val="left"/>
            </w:pPr>
            <w:r>
              <w:t xml:space="preserve">October 24, 2023</w:t>
            </w:r>
          </w:p>
        </w:tc>
      </w:tr>
      <w:tr>
        <w:tc>
          <w:tcPr/>
          <w:p>
            <w:pPr>
              <w:pStyle w:val="Compact"/>
              <w:jc w:val="left"/>
            </w:pPr>
            <w:r>
              <w:t xml:space="preserve">Reviewing Body</w:t>
            </w:r>
          </w:p>
        </w:tc>
        <w:tc>
          <w:tcPr/>
          <w:p>
            <w:pPr>
              <w:pStyle w:val="Compact"/>
              <w:jc w:val="left"/>
            </w:pPr>
            <w:r>
              <w:t xml:space="preserve">Technical Assessment Committee</w:t>
            </w:r>
          </w:p>
        </w:tc>
      </w:tr>
    </w:tbl>
    <w:bookmarkStart w:id="20" w:name="executive-summary"/>
    <w:p>
      <w:pPr>
        <w:pStyle w:val="Heading2"/>
      </w:pPr>
      <w:r>
        <w:t xml:space="preserve">1. Executive Summary</w:t>
      </w:r>
    </w:p>
    <w:p>
      <w:pPr>
        <w:pStyle w:val="FirstParagraph"/>
      </w:pPr>
      <w:r>
        <w:t xml:space="preserve">This Peer Review Report has been compiled to evaluate the professional competency, technical expertise, and operational contributions of the subject, designated as an Aerospace Engineer, within the context of their deployment in Germany Munich. Munich serves as a critical hub for the European aerospace industry, hosting major facilities for organizations such as Airbus and the German Aerospace Center (DLR). Consequently, the standards for engineering excellence in this region are exceptionally high. This report assesses whether the subject meets these rigorous standards and contributes effectively to ongoing aerospace projects.</w:t>
      </w:r>
    </w:p>
    <w:bookmarkEnd w:id="20"/>
    <w:bookmarkStart w:id="21" w:name="introduction-and-scope"/>
    <w:p>
      <w:pPr>
        <w:pStyle w:val="Heading2"/>
      </w:pPr>
      <w:r>
        <w:t xml:space="preserve">2. Introduction and Scope</w:t>
      </w:r>
    </w:p>
    <w:p>
      <w:pPr>
        <w:pStyle w:val="FirstParagraph"/>
      </w:pPr>
      <w:r>
        <w:t xml:space="preserve">The role of an Aerospace Engineer in Germany Munich is multifaceted, requiring a deep understanding of aerodynamics, propulsion systems, structural mechanics, and avionics. The scope of this Peer Review Report encompasses an analysis of the subject's design capabilities, adherence to safety regulations, collaboration within multidisciplinary teams, and innovation in engineering solutions. The review is based on project deliverables, peer feedback, and technical audits conducted over the past twelve months.</w:t>
      </w:r>
    </w:p>
    <w:bookmarkEnd w:id="21"/>
    <w:bookmarkStart w:id="22" w:name="X439074327a1743a4444a8f0233517819de3890a"/>
    <w:p>
      <w:pPr>
        <w:pStyle w:val="Heading2"/>
      </w:pPr>
      <w:r>
        <w:t xml:space="preserve">3. Technical Competency and Engineering Design</w:t>
      </w:r>
    </w:p>
    <w:p>
      <w:pPr>
        <w:pStyle w:val="FirstParagraph"/>
      </w:pPr>
      <w:r>
        <w:t xml:space="preserve">The subject has demonstrated a robust command of aerospace engineering principles. In the context of Germany Munich's focus on sustainable aviation and next-generation airframe design, the Aerospace Engineer has shown proficiency in utilizing advanced computational fluid dynamics (CFD) and finite element analysis (FEA) tools. Their work on optimizing wing structures for reduced drag and fuel consumption aligns perfectly with the industry's shift towards environmental sustainability.</w:t>
      </w:r>
    </w:p>
    <w:p>
      <w:pPr>
        <w:pStyle w:val="BodyText"/>
      </w:pPr>
      <w:r>
        <w:t xml:space="preserve">Furthermore, the engineer's ability to interpret complex technical specifications and translate them into viable engineering solutions is commendable. The precision required in the Munich aerospace sector demands zero tolerance for error, and the subject's design documentation reflects a meticulous attention to detail. Their contributions to the preliminary design phase of recent projects have been technically sound and innovative.</w:t>
      </w:r>
    </w:p>
    <w:bookmarkEnd w:id="22"/>
    <w:bookmarkStart w:id="23" w:name="Xc1bf6019d7c7f546cd756b019a9b2d8bdab0c79"/>
    <w:p>
      <w:pPr>
        <w:pStyle w:val="Heading2"/>
      </w:pPr>
      <w:r>
        <w:t xml:space="preserve">4. Regulatory Compliance and Safety Standards</w:t>
      </w:r>
    </w:p>
    <w:p>
      <w:pPr>
        <w:pStyle w:val="FirstParagraph"/>
      </w:pPr>
      <w:r>
        <w:t xml:space="preserve">Operating in Germany Munich necessitates strict adherence to European Union Aviation Safety Agency (EASA) regulations. This Peer Review Report confirms that the Aerospace Engineer maintains a thorough understanding of these regulatory frameworks. The subject consistently ensures that all engineering designs and modifications comply with airworthiness standards and safety protocols.</w:t>
      </w:r>
    </w:p>
    <w:p>
      <w:pPr>
        <w:pStyle w:val="BodyText"/>
      </w:pPr>
      <w:r>
        <w:t xml:space="preserve">The engineer's proactive approach to risk assessment and mitigation is particularly noteworthy. By integrating safety considerations early in the design lifecycle, they have helped prevent potential compliance issues that could delay project timelines. This diligence is crucial in the highly regulated environment of the German aerospace industry.</w:t>
      </w:r>
    </w:p>
    <w:bookmarkEnd w:id="23"/>
    <w:bookmarkStart w:id="24" w:name="collaboration-and-team-dynamics"/>
    <w:p>
      <w:pPr>
        <w:pStyle w:val="Heading2"/>
      </w:pPr>
      <w:r>
        <w:t xml:space="preserve">5. Collaboration and Team Dynamics</w:t>
      </w:r>
    </w:p>
    <w:p>
      <w:pPr>
        <w:pStyle w:val="FirstParagraph"/>
      </w:pPr>
      <w:r>
        <w:t xml:space="preserve">Aerospace engineering is inherently collaborative. In Germany Munich, projects often involve cross-functional teams comprising engineers, scientists, and project managers from diverse cultural and professional backgrounds. The subject has exhibited strong interpersonal skills, fostering effective communication and cooperation within their team.</w:t>
      </w:r>
    </w:p>
    <w:p>
      <w:pPr>
        <w:pStyle w:val="BodyText"/>
      </w:pPr>
      <w:r>
        <w:t xml:space="preserve">Feedback from colleagues indicates that the Aerospace Engineer is a reliable team player who is willing to share knowledge and support peers. Their ability to articulate complex technical concepts clearly has facilitated smoother project execution and enhanced overall team productivity. This collaborative spirit is essential for the success of large-scale aerospace initiatives in the region.</w:t>
      </w:r>
    </w:p>
    <w:bookmarkEnd w:id="24"/>
    <w:bookmarkStart w:id="25" w:name="innovation-and-continuous-improvement"/>
    <w:p>
      <w:pPr>
        <w:pStyle w:val="Heading2"/>
      </w:pPr>
      <w:r>
        <w:t xml:space="preserve">6. Innovation and Continuous Improvement</w:t>
      </w:r>
    </w:p>
    <w:p>
      <w:pPr>
        <w:pStyle w:val="FirstParagraph"/>
      </w:pPr>
      <w:r>
        <w:t xml:space="preserve">The aerospace industry is driven by innovation, and the subject has shown a commitment to staying at the forefront of technological advancements. They have actively engaged in research and development activities, exploring new materials and manufacturing techniques that could enhance aircraft performance and efficiency.</w:t>
      </w:r>
    </w:p>
    <w:p>
      <w:pPr>
        <w:pStyle w:val="BodyText"/>
      </w:pPr>
      <w:r>
        <w:t xml:space="preserve">The engineer's participation in technical workshops and conferences in Germany Munich has kept them updated on the latest industry trends. Their willingness to adopt new methodologies and tools demonstrates a growth mindset that is valuable for any engineering organization. This Peer Review Report highlights their potential to contribute to future breakthroughs in aerospace technology.</w:t>
      </w:r>
    </w:p>
    <w:bookmarkEnd w:id="25"/>
    <w:bookmarkStart w:id="26" w:name="areas-for-development"/>
    <w:p>
      <w:pPr>
        <w:pStyle w:val="Heading2"/>
      </w:pPr>
      <w:r>
        <w:t xml:space="preserve">7. Areas for Development</w:t>
      </w:r>
    </w:p>
    <w:p>
      <w:pPr>
        <w:pStyle w:val="FirstParagraph"/>
      </w:pPr>
      <w:r>
        <w:t xml:space="preserve">While the subject's performance is largely exemplary, there are areas where further development could enhance their effectiveness. Specifically, expanding their knowledge of digital twin technology and artificial intelligence applications in aerospace engineering would be beneficial. Additionally, improving their proficiency in German could facilitate better integration with local stakeholders and regulatory bodies in Germany Munich.</w:t>
      </w:r>
    </w:p>
    <w:bookmarkEnd w:id="26"/>
    <w:bookmarkStart w:id="27" w:name="conclusion"/>
    <w:p>
      <w:pPr>
        <w:pStyle w:val="Heading2"/>
      </w:pPr>
      <w:r>
        <w:t xml:space="preserve">8. Conclusion</w:t>
      </w:r>
    </w:p>
    <w:p>
      <w:pPr>
        <w:pStyle w:val="FirstParagraph"/>
      </w:pPr>
      <w:r>
        <w:t xml:space="preserve">In conclusion, this Peer Review Report affirms that the subject, as an Aerospace Engineer, is a highly competent and valuable professional within the Germany Munich aerospace community. Their technical expertise, commitment to safety, collaborative approach, and drive for innovation make them a significant asset to any engineering team. The subject is well-positioned to continue contributing to the advancement of aerospace technology in this dynamic and prestigious location.</w:t>
      </w:r>
    </w:p>
    <w:p>
      <w:pPr>
        <w:pStyle w:val="BodyText"/>
      </w:pPr>
      <w:r>
        <w:rPr>
          <w:bCs/>
          <w:b/>
        </w:rPr>
        <w:t xml:space="preserve">Prepared by:</w:t>
      </w:r>
      <w:r>
        <w:t xml:space="preserve"> </w:t>
      </w:r>
      <w:r>
        <w:t xml:space="preserve">Technical Assessment Committee</w:t>
      </w:r>
    </w:p>
    <w:p>
      <w:pPr>
        <w:pStyle w:val="BodyText"/>
      </w:pP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