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South Korea Seoul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an Aerospace Engineer operating within the dynamic aerospace sector in South Korea Seoul. The purpose of this review is to provide a comprehensive assessment of the engineer’s contributions to ongoing projects, adherence to industry standards, and alignment with the strategic goals of the organization. The aerospace industry in South Korea Seoul is rapidly evolving, driven by advancements in technology, increased collaboration with international partners, and a growing emphasis on innovation. This report aims to highlight the strengths and areas for improvement of the reviewed engineer, ensuring that their work continues to meet the high standards expected in this competitive environment.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Contribution to project development, design, and testing phases.</w:t>
      </w:r>
    </w:p>
    <w:p>
      <w:pPr>
        <w:numPr>
          <w:ilvl w:val="0"/>
          <w:numId w:val="1001"/>
        </w:numPr>
        <w:pStyle w:val="Compact"/>
      </w:pPr>
      <w:r>
        <w:t xml:space="preserve">Adherence to safety protocols and regulatory requirements specific to South Korea Seoul and international standards.</w:t>
      </w:r>
    </w:p>
    <w:p>
      <w:pPr>
        <w:numPr>
          <w:ilvl w:val="0"/>
          <w:numId w:val="1001"/>
        </w:numPr>
        <w:pStyle w:val="Compact"/>
      </w:pPr>
      <w:r>
        <w:t xml:space="preserve">Collaboration with cross-functional teams and stakeholders.</w:t>
      </w:r>
    </w:p>
    <w:p>
      <w:pPr>
        <w:numPr>
          <w:ilvl w:val="0"/>
          <w:numId w:val="1001"/>
        </w:numPr>
        <w:pStyle w:val="Compact"/>
      </w:pPr>
      <w:r>
        <w:t xml:space="preserve">Innovation and problem-solving capabilities.</w:t>
      </w:r>
    </w:p>
    <w:p>
      <w:pPr>
        <w:numPr>
          <w:ilvl w:val="0"/>
          <w:numId w:val="1001"/>
        </w:numPr>
        <w:pStyle w:val="Compact"/>
      </w:pPr>
      <w:r>
        <w:t xml:space="preserve">Professional development and commitment to continuous learning.</w:t>
      </w:r>
    </w:p>
    <w:p>
      <w:pPr>
        <w:pStyle w:val="FirstParagraph"/>
      </w:pPr>
      <w:r>
        <w:t xml:space="preserve">The review period covers the last 12 months of the engineer’s activities, including their involvement in critical projects such as satellite system design, propulsion system optimization, and aerodynamic analysis.</w:t>
      </w:r>
    </w:p>
    <w:bookmarkEnd w:id="22"/>
    <w:bookmarkStart w:id="23" w:name="technical-proficiency"/>
    <w:p>
      <w:pPr>
        <w:pStyle w:val="Heading2"/>
      </w:pPr>
      <w:r>
        <w:t xml:space="preserve">3. Technical Proficiency</w:t>
      </w:r>
    </w:p>
    <w:p>
      <w:pPr>
        <w:pStyle w:val="FirstParagraph"/>
      </w:pPr>
      <w:r>
        <w:t xml:space="preserve">The Aerospace Engineer has demonstrated a strong command of core aerospace engineering concepts, including fluid dynamics, structural mechanics, and propulsion systems. Their ability to apply theoretical knowledge to practical challenges has been evident in several high-profile projects. For instance, their work on optimizing the aerodynamic profile of a new drone prototype resulted in a 15% improvement in fuel efficiency, showcasing their analytical skills and attention to detail.</w:t>
      </w:r>
    </w:p>
    <w:p>
      <w:pPr>
        <w:pStyle w:val="BodyText"/>
      </w:pPr>
      <w:r>
        <w:t xml:space="preserve">Furthermore, the engineer has shown proficiency in using advanced simulation tools such as ANSYS and MATLAB, which are critical for modeling complex aerospace systems. Their expertise in these tools has been instrumental in reducing development time and enhancing the accuracy of design predictions.</w:t>
      </w:r>
    </w:p>
    <w:bookmarkEnd w:id="23"/>
    <w:bookmarkStart w:id="24" w:name="project-contributions"/>
    <w:p>
      <w:pPr>
        <w:pStyle w:val="Heading2"/>
      </w:pPr>
      <w:r>
        <w:t xml:space="preserve">4. Project Contributions</w:t>
      </w:r>
    </w:p>
    <w:p>
      <w:pPr>
        <w:pStyle w:val="FirstParagraph"/>
      </w:pPr>
      <w:r>
        <w:t xml:space="preserve">The engineer has played a pivotal role in multiple projects, particularly those aligned with South Korea Seoul’s growing focus on space exploration and defense technologies. Their contributions to the development of a next-generation satellite communication system were particularly noteworthy. They led the integration of lightweight materials into the satellite structure, which not only reduced overall weight but also improved durability during launch conditions.</w:t>
      </w:r>
    </w:p>
    <w:p>
      <w:pPr>
        <w:pStyle w:val="BodyText"/>
      </w:pPr>
      <w:r>
        <w:t xml:space="preserve">In addition, their involvement in testing and validation processes has ensured that all designs meet stringent safety and performance criteria. Their meticulous approach to quality assurance has minimized risks and enhanced the reliability of the final products.</w:t>
      </w:r>
    </w:p>
    <w:bookmarkEnd w:id="24"/>
    <w:bookmarkStart w:id="25" w:name="adherence-to-standards-and-regulations"/>
    <w:p>
      <w:pPr>
        <w:pStyle w:val="Heading2"/>
      </w:pPr>
      <w:r>
        <w:t xml:space="preserve">5. Adherence to Standards and Regulations</w:t>
      </w:r>
    </w:p>
    <w:p>
      <w:pPr>
        <w:pStyle w:val="FirstParagraph"/>
      </w:pPr>
      <w:r>
        <w:t xml:space="preserve">Operating in South Korea Seoul requires strict compliance with both local and international aerospace regulations. The engineer has consistently demonstrated a thorough understanding of these requirements, ensuring that all projects adhere to standards set by organizations such as the Korea Aerospace Industries (KAI) and the Federal Aviation Administration (FAA). Their proactive approach to regulatory compliance has helped avoid potential delays and penalties, contributing to the smooth execution of projects.</w:t>
      </w:r>
    </w:p>
    <w:bookmarkEnd w:id="25"/>
    <w:bookmarkStart w:id="26" w:name="collaboration-and-communication"/>
    <w:p>
      <w:pPr>
        <w:pStyle w:val="Heading2"/>
      </w:pPr>
      <w:r>
        <w:t xml:space="preserve">6. Collaboration and Communication</w:t>
      </w:r>
    </w:p>
    <w:p>
      <w:pPr>
        <w:pStyle w:val="FirstParagraph"/>
      </w:pPr>
      <w:r>
        <w:t xml:space="preserve">Effective collaboration is essential in the aerospace industry, where projects often involve multidisciplinary teams. The engineer has excelled in this area, fostering strong relationships with colleagues from various departments, including manufacturing, software development, and project management. Their clear and concise communication style has facilitated seamless coordination, even in high-pressure situations.</w:t>
      </w:r>
    </w:p>
    <w:p>
      <w:pPr>
        <w:pStyle w:val="BodyText"/>
      </w:pPr>
      <w:r>
        <w:t xml:space="preserve">Moreover, their ability to present technical information to non-technical stakeholders has been highly valued, enabling better decision-making at all levels of the organization.</w:t>
      </w:r>
    </w:p>
    <w:bookmarkEnd w:id="26"/>
    <w:bookmarkStart w:id="27" w:name="innovation-and-problem-solving"/>
    <w:p>
      <w:pPr>
        <w:pStyle w:val="Heading2"/>
      </w:pPr>
      <w:r>
        <w:t xml:space="preserve">7. Innovation and Problem-Solving</w:t>
      </w:r>
    </w:p>
    <w:p>
      <w:pPr>
        <w:pStyle w:val="FirstParagraph"/>
      </w:pPr>
      <w:r>
        <w:t xml:space="preserve">Innovation is a cornerstone of success in the aerospace sector, and the engineer has consistently demonstrated creativity in addressing complex challenges. For example, they proposed a novel solution to reduce vibration issues in a propulsion system, which was subsequently implemented and resulted in significant performance improvements. Their willingness to explore unconventional approaches has positioned them as a valuable asset to the team.</w:t>
      </w:r>
    </w:p>
    <w:bookmarkEnd w:id="27"/>
    <w:bookmarkStart w:id="28" w:name="areas-for-improvement"/>
    <w:p>
      <w:pPr>
        <w:pStyle w:val="Heading2"/>
      </w:pPr>
      <w:r>
        <w:t xml:space="preserve">8. Areas for Improvement</w:t>
      </w:r>
    </w:p>
    <w:p>
      <w:pPr>
        <w:pStyle w:val="FirstParagraph"/>
      </w:pPr>
      <w:r>
        <w:t xml:space="preserve">While the engineer has performed exceptionally well, there are areas where further development could enhance their effectiveness:</w:t>
      </w:r>
    </w:p>
    <w:p>
      <w:pPr>
        <w:numPr>
          <w:ilvl w:val="0"/>
          <w:numId w:val="1002"/>
        </w:numPr>
        <w:pStyle w:val="Compact"/>
      </w:pPr>
      <w:r>
        <w:t xml:space="preserve">Expanding knowledge of emerging technologies, such as artificial intelligence and machine learning, to leverage their potential in aerospace applications.</w:t>
      </w:r>
    </w:p>
    <w:p>
      <w:pPr>
        <w:numPr>
          <w:ilvl w:val="0"/>
          <w:numId w:val="1002"/>
        </w:numPr>
        <w:pStyle w:val="Compact"/>
      </w:pPr>
      <w:r>
        <w:t xml:space="preserve">Enhancing leadership skills to take on more senior roles in future projects.</w:t>
      </w:r>
    </w:p>
    <w:p>
      <w:pPr>
        <w:numPr>
          <w:ilvl w:val="0"/>
          <w:numId w:val="1002"/>
        </w:numPr>
        <w:pStyle w:val="Compact"/>
      </w:pPr>
      <w:r>
        <w:t xml:space="preserve">Increasing engagement with international networks to stay abreast of global trends and best practices.</w:t>
      </w:r>
    </w:p>
    <w:bookmarkEnd w:id="28"/>
    <w:bookmarkStart w:id="29" w:name="conclusion"/>
    <w:p>
      <w:pPr>
        <w:pStyle w:val="Heading2"/>
      </w:pPr>
      <w:r>
        <w:t xml:space="preserve">9. Conclusion</w:t>
      </w:r>
    </w:p>
    <w:p>
      <w:pPr>
        <w:pStyle w:val="FirstParagraph"/>
      </w:pPr>
      <w:r>
        <w:t xml:space="preserve">In conclusion, this Peer Review Report affirms the Aerospace Engineer’s exceptional contributions to the organization and their alignment with the strategic objectives of South Korea Seoul’s aerospace industry. Their technical expertise, dedication to quality, and collaborative spirit make them a vital member of the team. By addressing the identified areas for improvement, they have the potential to achieve even greater success in their career and continue driving innovation in the field.</w:t>
      </w:r>
    </w:p>
    <w:bookmarkEnd w:id="29"/>
    <w:p>
      <w:pPr>
        <w:pStyle w:val="BodyText"/>
      </w:pPr>
      <w:r>
        <w:rPr>
          <w:bCs/>
          <w:b/>
        </w:rPr>
        <w:t xml:space="preserve">Reviewed by:</w:t>
      </w:r>
      <w:r>
        <w:t xml:space="preserve"> </w:t>
      </w:r>
      <w:r>
        <w:t xml:space="preserve">[Name]</w:t>
      </w:r>
    </w:p>
    <w:p>
      <w:pPr>
        <w:pStyle w:val="BodyText"/>
      </w:pPr>
      <w:r>
        <w:rPr>
          <w:bCs/>
          <w:b/>
        </w:rPr>
        <w:t xml:space="preserve">Title:</w:t>
      </w:r>
      <w:r>
        <w:t xml:space="preserve"> </w:t>
      </w:r>
      <w:r>
        <w:t xml:space="preserve">Senior Aerospace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2026-10-10T08:10:13Z</dcterms:created>
  <dcterms:modified xsi:type="dcterms:W3CDTF">2026-10-10T08:10:13Z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