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9" w:name="peer-review-report"/>
    <w:p>
      <w:pPr>
        <w:pStyle w:val="Heading1"/>
      </w:pPr>
      <w:r>
        <w:t xml:space="preserve">Peer Review Report</w:t>
      </w:r>
    </w:p>
    <w:bookmarkStart w:id="20" w:name="X90293900ef5c4c6fa2a96ebfe6efe9dafcccd63"/>
    <w:p>
      <w:pPr>
        <w:pStyle w:val="Heading2"/>
      </w:pPr>
      <w:r>
        <w:t xml:space="preserve">Subject: Professional Competency Assessment of an Aerospace Engineer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Report Reference Number:</w:t>
            </w:r>
          </w:p>
        </w:tc>
        <w:tc>
          <w:tcPr/>
          <w:p>
            <w:pPr>
              <w:pStyle w:val="Compact"/>
              <w:jc w:val="left"/>
            </w:pPr>
            <w:r>
              <w:t xml:space="preserve">PR-AD-2023-089</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Location:</w:t>
            </w:r>
          </w:p>
        </w:tc>
        <w:tc>
          <w:tcPr/>
          <w:p>
            <w:pPr>
              <w:pStyle w:val="Compact"/>
              <w:jc w:val="left"/>
            </w:pPr>
            <w:r>
              <w:t xml:space="preserve">United Arab Emirates, Abu Dhabi</w:t>
            </w:r>
          </w:p>
        </w:tc>
      </w:tr>
      <w:tr>
        <w:tc>
          <w:tcPr/>
          <w:p>
            <w:pPr>
              <w:pStyle w:val="Compact"/>
              <w:jc w:val="left"/>
            </w:pPr>
            <w:r>
              <w:t xml:space="preserve">Engineer Under Review:</w:t>
            </w:r>
          </w:p>
        </w:tc>
        <w:tc>
          <w:tcPr/>
          <w:p>
            <w:pPr>
              <w:pStyle w:val="Compact"/>
              <w:jc w:val="left"/>
            </w:pPr>
            <w:r>
              <w:t xml:space="preserve">[Name of Aerospace Engineer]</w:t>
            </w:r>
          </w:p>
        </w:tc>
      </w:tr>
      <w:tr>
        <w:tc>
          <w:tcPr/>
          <w:p>
            <w:pPr>
              <w:pStyle w:val="Compact"/>
              <w:jc w:val="left"/>
            </w:pPr>
            <w:r>
              <w:t xml:space="preserve">Reviewing Panel:</w:t>
            </w:r>
          </w:p>
        </w:tc>
        <w:tc>
          <w:tcPr/>
          <w:p>
            <w:pPr>
              <w:pStyle w:val="Compact"/>
              <w:jc w:val="left"/>
            </w:pPr>
            <w:r>
              <w:t xml:space="preserve">Senior Engineering Board, Abu Dhabi Aerospace Sector</w:t>
            </w:r>
          </w:p>
        </w:tc>
      </w:tr>
    </w:tbl>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adherence to industry standards of the aforementioned Aerospace Engineer. The review is conducted within the regulatory and operational framework of the United Arab Emirates, specifically focusing on the aviation and aerospace sector in Abu Dhabi. The purpose of this assessment is to ensure that the engineer meets the rigorous standards required for aerospace engineering roles in the region, which are critical for maintaining safety, innovation, and operational excellence.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Technical proficiency in aerospace engineering disciplines.</w:t>
      </w:r>
    </w:p>
    <w:p>
      <w:pPr>
        <w:numPr>
          <w:ilvl w:val="0"/>
          <w:numId w:val="1001"/>
        </w:numPr>
        <w:pStyle w:val="Compact"/>
      </w:pPr>
      <w:r>
        <w:t xml:space="preserve">Compliance with local and international regulations, including those set by the General Civil Aviation Authority (GCAA) of the UAE.</w:t>
      </w:r>
    </w:p>
    <w:p>
      <w:pPr>
        <w:numPr>
          <w:ilvl w:val="0"/>
          <w:numId w:val="1001"/>
        </w:numPr>
        <w:pStyle w:val="Compact"/>
      </w:pPr>
      <w:r>
        <w:t xml:space="preserve">Project management and leadership capabilities.</w:t>
      </w:r>
    </w:p>
    <w:p>
      <w:pPr>
        <w:numPr>
          <w:ilvl w:val="0"/>
          <w:numId w:val="1001"/>
        </w:numPr>
        <w:pStyle w:val="Compact"/>
      </w:pPr>
      <w:r>
        <w:t xml:space="preserve">Commitment to continuous professional development.</w:t>
      </w:r>
    </w:p>
    <w:p>
      <w:pPr>
        <w:numPr>
          <w:ilvl w:val="0"/>
          <w:numId w:val="1001"/>
        </w:numPr>
        <w:pStyle w:val="Compact"/>
      </w:pPr>
      <w:r>
        <w:t xml:space="preserve">Ethical conduct and professional behavior.</w:t>
      </w:r>
    </w:p>
    <w:bookmarkEnd w:id="22"/>
    <w:bookmarkStart w:id="23" w:name="technical-proficiency"/>
    <w:p>
      <w:pPr>
        <w:pStyle w:val="Heading2"/>
      </w:pPr>
      <w:r>
        <w:t xml:space="preserve">3. Technical Proficiency</w:t>
      </w:r>
    </w:p>
    <w:p>
      <w:pPr>
        <w:pStyle w:val="FirstParagraph"/>
      </w:pPr>
      <w:r>
        <w:t xml:space="preserve">The Aerospace Engineer under review has demonstrated a high level of technical proficiency in their field. Their expertise spans across aerodynamics, propulsion systems, structural analysis, and avionics. The engineer has successfully contributed to several key projects in Abu Dhabi, including the design and testing of advanced aircraft components and the optimization of flight performance systems.</w:t>
      </w:r>
    </w:p>
    <w:p>
      <w:pPr>
        <w:pStyle w:val="BodyText"/>
      </w:pPr>
      <w:r>
        <w:t xml:space="preserve">Notably, the engineer has applied cutting-edge technologies and methodologies to solve complex engineering challenges. Their ability to integrate computational fluid dynamics (CFD) simulations with real-world testing has been particularly commendable. This approach has not only enhanced the efficiency of the projects but also ensured compliance with the stringent safety standards required in the UAE aerospace industry.</w:t>
      </w:r>
    </w:p>
    <w:bookmarkEnd w:id="23"/>
    <w:bookmarkStart w:id="24" w:name="regulatory-compliance"/>
    <w:p>
      <w:pPr>
        <w:pStyle w:val="Heading2"/>
      </w:pPr>
      <w:r>
        <w:t xml:space="preserve">4. Regulatory Compliance</w:t>
      </w:r>
    </w:p>
    <w:p>
      <w:pPr>
        <w:pStyle w:val="FirstParagraph"/>
      </w:pPr>
      <w:r>
        <w:t xml:space="preserve">Compliance with regulatory standards is a cornerstone of aerospace engineering, especially in a region as dynamic as Abu Dhabi. The engineer has consistently demonstrated a thorough understanding of the regulations set forth by the GCAA and other relevant bodies. Their work has been aligned with international standards such as those established by the International Civil Aviation Organization (ICAO) and the Federal Aviation Administration (FAA).</w:t>
      </w:r>
    </w:p>
    <w:p>
      <w:pPr>
        <w:pStyle w:val="BodyText"/>
      </w:pPr>
      <w:r>
        <w:t xml:space="preserve">The engineer has also played a pivotal role in ensuring that all projects meet the environmental and sustainability goals outlined by the UAE government. This includes the implementation of fuel-efficient technologies and the reduction of carbon emissions in aviation operations.</w:t>
      </w:r>
    </w:p>
    <w:bookmarkEnd w:id="24"/>
    <w:bookmarkStart w:id="25" w:name="project-management-and-leadership"/>
    <w:p>
      <w:pPr>
        <w:pStyle w:val="Heading2"/>
      </w:pPr>
      <w:r>
        <w:t xml:space="preserve">5. Project Management and Leadership</w:t>
      </w:r>
    </w:p>
    <w:p>
      <w:pPr>
        <w:pStyle w:val="FirstParagraph"/>
      </w:pPr>
      <w:r>
        <w:t xml:space="preserve">In addition to their technical skills, the Aerospace Engineer has exhibited strong project management and leadership abilities. They have successfully led cross-functional teams in Abu Dhabi, coordinating efforts between engineers, designers, and stakeholders to deliver projects on time and within budget. Their ability to communicate complex technical concepts to non-technical audiences has been particularly valuable in fostering collaboration and ensuring project alignment with organizational goals.</w:t>
      </w:r>
    </w:p>
    <w:p>
      <w:pPr>
        <w:pStyle w:val="BodyText"/>
      </w:pPr>
      <w:r>
        <w:t xml:space="preserve">The engineer has also shown a proactive approach to risk management, identifying potential issues early in the project lifecycle and implementing mitigation strategies. This has contributed to the overall success of the projects and has reinforced the reputation of the UAE aerospace sector as a leader in innovation and reliability.</w:t>
      </w:r>
    </w:p>
    <w:bookmarkEnd w:id="25"/>
    <w:bookmarkStart w:id="26" w:name="continuous-professional-development"/>
    <w:p>
      <w:pPr>
        <w:pStyle w:val="Heading2"/>
      </w:pPr>
      <w:r>
        <w:t xml:space="preserve">6. Continuous Professional Development</w:t>
      </w:r>
    </w:p>
    <w:p>
      <w:pPr>
        <w:pStyle w:val="FirstParagraph"/>
      </w:pPr>
      <w:r>
        <w:t xml:space="preserve">The Aerospace Engineer has demonstrated a strong commitment to continuous professional development. They have actively participated in workshops, seminars, and training programs related to aerospace engineering, both locally in Abu Dhabi and internationally. Their pursuit of advanced certifications and qualifications reflects their dedication to staying at the forefront of technological advancements in the field.</w:t>
      </w:r>
    </w:p>
    <w:p>
      <w:pPr>
        <w:pStyle w:val="BodyText"/>
      </w:pPr>
      <w:r>
        <w:t xml:space="preserve">Furthermore, the engineer has contributed to the professional growth of their peers by mentoring junior engineers and sharing their expertise through internal knowledge-sharing sessions. This commitment to fostering a culture of learning and development is highly valued within the UAE aerospace community.</w:t>
      </w:r>
    </w:p>
    <w:bookmarkEnd w:id="26"/>
    <w:bookmarkStart w:id="27" w:name="X0126a15797055527d3e209b5570433446da6e1f"/>
    <w:p>
      <w:pPr>
        <w:pStyle w:val="Heading2"/>
      </w:pPr>
      <w:r>
        <w:t xml:space="preserve">7. Ethical Conduct and Professional Behavior</w:t>
      </w:r>
    </w:p>
    <w:p>
      <w:pPr>
        <w:pStyle w:val="FirstParagraph"/>
      </w:pPr>
      <w:r>
        <w:t xml:space="preserve">The engineer has consistently upheld the highest standards of ethical conduct and professional behavior. They have demonstrated integrity, honesty, and accountability in all aspects of their work. Their adherence to the code of ethics established by professional engineering bodies has been exemplary, and they have served as a role model for their colleagues.</w:t>
      </w:r>
    </w:p>
    <w:p>
      <w:pPr>
        <w:pStyle w:val="BodyText"/>
      </w:pPr>
      <w:r>
        <w:t xml:space="preserve">In addition, the engineer has shown a strong sense of social responsibility, contributing to community initiatives and supporting efforts to promote STEM education in the UAE. This aligns with the broader vision of the UAE to develop a knowledge-based economy and empower its citizens through education and innovation.</w:t>
      </w:r>
    </w:p>
    <w:bookmarkEnd w:id="27"/>
    <w:bookmarkStart w:id="28" w:name="conclusion-and-recommendations"/>
    <w:p>
      <w:pPr>
        <w:pStyle w:val="Heading2"/>
      </w:pPr>
      <w:r>
        <w:t xml:space="preserve">8. Conclusion and Recommendations</w:t>
      </w:r>
    </w:p>
    <w:p>
      <w:pPr>
        <w:pStyle w:val="FirstParagraph"/>
      </w:pPr>
      <w:r>
        <w:t xml:space="preserve">Based on the comprehensive evaluation conducted as part of this Peer Review Report, it is evident that the Aerospace Engineer under review possesses the technical expertise, regulatory knowledge, leadership skills, and ethical standards required to excel in their role within the UAE aerospace sector. Their contributions to projects in Abu Dhabi have been significant, and their commitment to excellence has been unwavering.</w:t>
      </w:r>
    </w:p>
    <w:p>
      <w:pPr>
        <w:pStyle w:val="BodyText"/>
      </w:pPr>
      <w:r>
        <w:t xml:space="preserve">It is recommended that the engineer be recognized for their outstanding performance and be considered for leadership roles within the organization. Additionally, their expertise should be leveraged to mentor and guide the next generation of aerospace engineers in the UAE, ensuring the continued growth and success of the industry.</w:t>
      </w:r>
    </w:p>
    <w:p>
      <w:pPr>
        <w:pStyle w:val="BodyText"/>
      </w:pPr>
      <w:r>
        <w:rPr>
          <w:bCs/>
          <w:b/>
        </w:rPr>
        <w:t xml:space="preserve">Prepared by:</w:t>
      </w:r>
      <w:r>
        <w:br/>
      </w:r>
      <w:r>
        <w:t xml:space="preserve">[Name of Reviewing Panel Chair]</w:t>
      </w:r>
      <w:r>
        <w:br/>
      </w:r>
      <w:r>
        <w:t xml:space="preserve">Senior Engineering Board</w:t>
      </w:r>
      <w:r>
        <w:br/>
      </w:r>
      <w:r>
        <w:t xml:space="preserve">Abu Dhabi Aerospace Sector</w:t>
      </w:r>
      <w:r>
        <w:br/>
      </w:r>
      <w:r>
        <w:t xml:space="preserve">United Arab Emirates</w:t>
      </w:r>
    </w:p>
    <w:p>
      <w:pPr>
        <w:pStyle w:val="BodyText"/>
      </w:pPr>
      <w:r>
        <w:rPr>
          <w:bCs/>
          <w:b/>
        </w:rPr>
        <w:t xml:space="preserve">Date:</w:t>
      </w:r>
      <w:r>
        <w:t xml:space="preserve"> </w:t>
      </w: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2026-10-10T09:23:18Z</dcterms:created>
  <dcterms:modified xsi:type="dcterms:W3CDTF">2026-10-10T09:23:18Z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