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and Professional Competency</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Queensland Board of Architects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 technical competency, and ethical adherence of a registered Architect operating within the jurisdiction of Australia Brisbane. The review focuses on the alignment of the Architect’s work with the National Standard of Competency for Architects, the specific regulatory requirements of the Queensland Building and Construction Commission (QBCC), and the unique environmental and cultural context of Brisbane. The assessment covers design quality, sustainability integration, regulatory compliance, and professional conduct.</w:t>
      </w:r>
    </w:p>
    <w:bookmarkEnd w:id="21"/>
    <w:bookmarkStart w:id="22" w:name="introduction-and-scope"/>
    <w:p>
      <w:pPr>
        <w:pStyle w:val="Heading2"/>
      </w:pPr>
      <w:r>
        <w:t xml:space="preserve">2. Introduction and Scope</w:t>
      </w:r>
    </w:p>
    <w:p>
      <w:pPr>
        <w:pStyle w:val="FirstParagraph"/>
      </w:pPr>
      <w:r>
        <w:t xml:space="preserve">The role of an Architect in Australia Brisbane is increasingly complex, requiring a synthesis of creative vision, technical precision, and strict adherence to local planning schemes. This Peer Review Report examines a portfolio of recent projects undertaken by the subject Architect. The scope of this review includes an analysis of residential and commercial developments located in key Brisbane precincts, assessing how the Architect navigates the challenges posed by the subtropical climate, flood-prone topography, and rapid urban densification.</w:t>
      </w:r>
    </w:p>
    <w:p>
      <w:pPr>
        <w:pStyle w:val="BodyText"/>
      </w:pPr>
      <w:r>
        <w:t xml:space="preserve">The review is conducted in accordance with the guidelines set forth by the Architects Accreditation Council of Australia (AACA) and the specific peer review protocols mandated for registration and renewal in Queensland. The objective is to ensure that the Architect maintains the highest standards of practice expected by the public and the profession in Australia Brisbane.</w:t>
      </w:r>
    </w:p>
    <w:bookmarkEnd w:id="22"/>
    <w:bookmarkStart w:id="23" w:name="Xd1a18418a4d01be868424bb79bb4df67d3ba35f"/>
    <w:p>
      <w:pPr>
        <w:pStyle w:val="Heading2"/>
      </w:pPr>
      <w:r>
        <w:t xml:space="preserve">3. Assessment of Design Quality and Contextual Responsiveness</w:t>
      </w:r>
    </w:p>
    <w:p>
      <w:pPr>
        <w:pStyle w:val="FirstParagraph"/>
      </w:pPr>
      <w:r>
        <w:t xml:space="preserve">A critical component of this Peer Review Report is the evaluation of the Architect’s ability to create designs that are contextually appropriate for Australia Brisbane. The reviewed projects demonstrate a strong understanding of the local vernacular, incorporating elements that respond to the city’s distinct light, landscape, and lifestyle. The Architect has successfully integrated passive design strategies, such as cross-ventilation and deep eaves, which are essential for thermal comfort in Brisbane’s subtropical climate.</w:t>
      </w:r>
    </w:p>
    <w:p>
      <w:pPr>
        <w:pStyle w:val="BodyText"/>
      </w:pPr>
      <w:r>
        <w:t xml:space="preserve">Furthermore, the Architect’s work shows a respectful engagement with the existing urban fabric. In projects located in heritage-listed areas, the Architect demonstrated a nuanced approach to conservation and adaptation, ensuring that new interventions complement rather than detract from the historical significance of the site. This contextual sensitivity is a hallmark of high-quality architectural practice in Australia Brisbane.</w:t>
      </w:r>
    </w:p>
    <w:bookmarkEnd w:id="23"/>
    <w:bookmarkStart w:id="24" w:name="X21b9cf0ed2648f2ed3456d78209be72e57d88e3"/>
    <w:p>
      <w:pPr>
        <w:pStyle w:val="Heading2"/>
      </w:pPr>
      <w:r>
        <w:t xml:space="preserve">4. Sustainability and Environmental Performance</w:t>
      </w:r>
    </w:p>
    <w:p>
      <w:pPr>
        <w:pStyle w:val="FirstParagraph"/>
      </w:pPr>
      <w:r>
        <w:t xml:space="preserve">Given the urgent focus on climate resilience in Australia Brisbane, this Peer Review Report places significant emphasis on the Architect’s commitment to sustainability. The reviewed projects consistently exceed the minimum requirements of the National Construction Code (NCC) regarding energy efficiency and water conservation. The Architect has effectively utilized green building certifications, such as Green Star and NABERS, to guide design decisions and achieve measurable environmental outcomes.</w:t>
      </w:r>
    </w:p>
    <w:p>
      <w:pPr>
        <w:pStyle w:val="BodyText"/>
      </w:pPr>
      <w:r>
        <w:t xml:space="preserve">Notably, the Architect has incorporated innovative solutions for stormwater management and flood mitigation, which are critical considerations in Brisbane’s flood-prone regions. The use of permeable surfaces, rainwater harvesting systems, and elevated structures demonstrates a proactive approach to environmental risk management. This Peer Review Report concludes that the Architect’s sustainability practices are exemplary and align with the broader goals of sustainable urban development in Australia Brisbane.</w:t>
      </w:r>
    </w:p>
    <w:bookmarkEnd w:id="24"/>
    <w:bookmarkStart w:id="25" w:name="Xf81ad1d3721a18a0f1af1e5f8148fa098484165"/>
    <w:p>
      <w:pPr>
        <w:pStyle w:val="Heading2"/>
      </w:pPr>
      <w:r>
        <w:t xml:space="preserve">5. Regulatory Compliance and Technical Proficiency</w:t>
      </w:r>
    </w:p>
    <w:p>
      <w:pPr>
        <w:pStyle w:val="FirstParagraph"/>
      </w:pPr>
      <w:r>
        <w:t xml:space="preserve">Compliance with local regulations is a fundamental requirement for any Architect practicing in Australia Brisbane. This Peer Review Report confirms that the subject Architect maintains a thorough understanding of the Brisbane City Plan 2014, the Queensland Development Code, and other relevant statutory instruments. The Architect’s documentation is consistently clear, accurate, and comprehensive, facilitating smooth approval processes with local authorities.</w:t>
      </w:r>
    </w:p>
    <w:p>
      <w:pPr>
        <w:pStyle w:val="BodyText"/>
      </w:pPr>
      <w:r>
        <w:t xml:space="preserve">The Architect’s technical proficiency is evident in the detailed construction documentation and the effective coordination of engineering and specialist consultants. The Peer Review Report notes that the Architect’s projects have experienced minimal variations or delays due to design errors, reflecting a high level of technical competence and project management skill.</w:t>
      </w:r>
    </w:p>
    <w:bookmarkEnd w:id="25"/>
    <w:bookmarkStart w:id="26" w:name="X6c6aac11019cf5e7a26573dfbe01b305b5df09e"/>
    <w:p>
      <w:pPr>
        <w:pStyle w:val="Heading2"/>
      </w:pPr>
      <w:r>
        <w:t xml:space="preserve">6. Professional Conduct and Ethical Standards</w:t>
      </w:r>
    </w:p>
    <w:p>
      <w:pPr>
        <w:pStyle w:val="FirstParagraph"/>
      </w:pPr>
      <w:r>
        <w:t xml:space="preserve">This Peer Review Report also assesses the Architect’s adherence to the Code of Professional Conduct and Practice established by the Architects Accreditation Council of Australia. The Architect has demonstrated integrity, honesty, and transparency in all professional dealings. Client testimonials and feedback from project stakeholders highlight the Architect’s commitment to clear communication, timely delivery, and fair pricing.</w:t>
      </w:r>
    </w:p>
    <w:p>
      <w:pPr>
        <w:pStyle w:val="BodyText"/>
      </w:pPr>
      <w:r>
        <w:t xml:space="preserve">The Architect actively engages in continuing professional development (CPD), staying informed about emerging trends, technologies, and regulatory changes in the Australian architectural landscape. This commitment to lifelong learning is essential for maintaining the high standards expected of an Architect in Australia Brisbane.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finds that the subject Architect meets and, in many areas, exceeds the professional standards required for practice in Australia Brisbane. The Architect’s work is characterized by design excellence, environmental responsibility, technical rigor, and ethical integrity. The Architect has demonstrated a deep understanding of the unique challenges and opportunities presented by the Brisbane context, delivering projects that enhance the built environment and contribute positively to the community.</w:t>
      </w:r>
    </w:p>
    <w:p>
      <w:pPr>
        <w:pStyle w:val="BodyText"/>
      </w:pPr>
      <w:r>
        <w:t xml:space="preserve">It is recommended that the Architect’s registration be renewed without restriction. Furthermore, the Architect is encouraged to continue leading by example in sustainability and community engagement, further solidifying their reputation as a leading professional in Australia Brisbane.</w:t>
      </w:r>
    </w:p>
    <w:bookmarkEnd w:id="27"/>
    <w:p>
      <w:pPr>
        <w:pStyle w:val="BodyText"/>
      </w:pPr>
      <w:r>
        <w:rPr>
          <w:bCs/>
          <w:b/>
        </w:rPr>
        <w:t xml:space="preserve">Reviewed By:</w:t>
      </w:r>
    </w:p>
    <w:p>
      <w:pPr>
        <w:pStyle w:val="BodyText"/>
      </w:pPr>
      <w:r>
        <w:t xml:space="preserve">Senior Peer Reviewer</w:t>
      </w:r>
    </w:p>
    <w:p>
      <w:pPr>
        <w:pStyle w:val="BodyText"/>
      </w:pPr>
      <w:r>
        <w:t xml:space="preserve">Queensland Board of Architects</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Australia Brisbane</dc:title>
  <dc:creator/>
  <dc:language>en</dc:language>
  <cp:keywords/>
  <dcterms:created xsi:type="dcterms:W3CDTF">2026-10-10T08:38:22Z</dcterms:created>
  <dcterms:modified xsi:type="dcterms:W3CDTF">2026-10-10T08:38:22Z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