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Design and Professional Practice</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Board of Architects Victoria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design integrity, and regulatory compliance of a practicing Architect within the jurisdiction of Australia Melbourne. The review focuses on a specific residential and mixed-use development project located in the inner-city precincts of Melbourne. The objective is to ensure that the Architect’s work aligns with the rigorous standards set forth by the Architects Registration Board of Victoria (ARBV) and the National Code of Conduct for Architects. This report provides a comprehensive analysis of the design methodology, sustainability integration, and adherence to local planning schemes characteristic of the Australian context.</w:t>
      </w:r>
    </w:p>
    <w:bookmarkEnd w:id="21"/>
    <w:bookmarkStart w:id="22" w:name="introduction-and-scope"/>
    <w:p>
      <w:pPr>
        <w:pStyle w:val="Heading2"/>
      </w:pPr>
      <w:r>
        <w:t xml:space="preserve">2. Introduction and Scope</w:t>
      </w:r>
    </w:p>
    <w:p>
      <w:pPr>
        <w:pStyle w:val="FirstParagraph"/>
      </w:pPr>
      <w:r>
        <w:t xml:space="preserve">The role of the Architect in Australia Melbourne is pivotal in shaping the urban fabric of one of the world’s most culturally significant cities. Melbourne is renowned for its diverse architectural landscape, ranging from Victorian heritage facades to contemporary high-rise developments. Consequently, the expectations placed upon an Architect operating in this environment are exceptionally high. This Peer Review Report assesses the Architect’s ability to navigate the complex intersection of creative design, statutory requirements, and community needs.</w:t>
      </w:r>
    </w:p>
    <w:p>
      <w:pPr>
        <w:pStyle w:val="BodyText"/>
      </w:pPr>
      <w:r>
        <w:t xml:space="preserve">The scope of this review encompasses the analysis of design documentation, site analysis reports, sustainability strategies, and stakeholder engagement records. The review specifically examines how the Architect has interpreted the Melbourne Planning Scheme and the National Construction Code (NCC) within the proposed project.</w:t>
      </w:r>
    </w:p>
    <w:bookmarkEnd w:id="22"/>
    <w:bookmarkStart w:id="23" w:name="Xe7721fc4a5fb0c364658e07b2ffe8a84096c4c5"/>
    <w:p>
      <w:pPr>
        <w:pStyle w:val="Heading2"/>
      </w:pPr>
      <w:r>
        <w:t xml:space="preserve">3. Assessment of Design Excellence and Context</w:t>
      </w:r>
    </w:p>
    <w:p>
      <w:pPr>
        <w:pStyle w:val="FirstParagraph"/>
      </w:pPr>
      <w:r>
        <w:t xml:space="preserve">A primary criterion for this Peer Review Report is the evaluation of design excellence. The Architect has demonstrated a sophisticated understanding of the Melbourne context. The proposed design successfully responds to the site’s orientation, maximizing natural light and ventilation—a critical consideration in the Australian climate. The massing of the building respects the scale of neighboring structures, ensuring that the development does not overshadow adjacent properties, a common concern in dense Melbourne suburbs.</w:t>
      </w:r>
    </w:p>
    <w:p>
      <w:pPr>
        <w:pStyle w:val="BodyText"/>
      </w:pPr>
      <w:r>
        <w:t xml:space="preserve">Furthermore, the Architect has integrated high-quality materials that reflect the local aesthetic sensibilities. The use of brickwork and steel elements pays homage to Melbourne’s industrial heritage while maintaining a contemporary edge. This balance between heritage appreciation and modern innovation is a hallmark of successful architectural practice in Australia Melbourne. The review confirms that the Architect has prioritized human-centric design, creating spaces that are functional, accessible, and aesthetically pleasing.</w:t>
      </w:r>
    </w:p>
    <w:bookmarkEnd w:id="23"/>
    <w:bookmarkStart w:id="24" w:name="Xf81ad1d3721a18a0f1af1e5f8148fa098484165"/>
    <w:p>
      <w:pPr>
        <w:pStyle w:val="Heading2"/>
      </w:pPr>
      <w:r>
        <w:t xml:space="preserve">4. Regulatory Compliance and Technical Proficiency</w:t>
      </w:r>
    </w:p>
    <w:p>
      <w:pPr>
        <w:pStyle w:val="FirstParagraph"/>
      </w:pPr>
      <w:r>
        <w:t xml:space="preserve">Compliance with Australian standards is non-negotiable for any practicing Architect. This Peer Review Report verifies that the Architect has adhered to the Building Code of Australia (BCA), now known as the National Construction Code (NCC). The documentation reviewed demonstrates a thorough understanding of structural integrity, fire safety, and accessibility requirements.</w:t>
      </w:r>
    </w:p>
    <w:p>
      <w:pPr>
        <w:pStyle w:val="BodyText"/>
      </w:pPr>
      <w:r>
        <w:t xml:space="preserve">Specifically, the Architect’s approach to the Melbourne Planning Scheme has been exemplary. The design addresses key planning controls related to residential development, including setbacks, height limits, and landscaping requirements. The Architect has also engaged proactively with the local council, providing detailed responses to planning inquiries. This level of technical proficiency and regulatory awareness is essential for an Architect operating in the Australian jurisdiction, ensuring that projects proceed without unnecessary legal or administrative impediments.</w:t>
      </w:r>
    </w:p>
    <w:bookmarkEnd w:id="24"/>
    <w:bookmarkStart w:id="25" w:name="Xc3131b44cc6e0c52c0f0ebe61437dcc9cc59f37"/>
    <w:p>
      <w:pPr>
        <w:pStyle w:val="Heading2"/>
      </w:pPr>
      <w:r>
        <w:t xml:space="preserve">5. Sustainability and Environmental Responsibility</w:t>
      </w:r>
    </w:p>
    <w:p>
      <w:pPr>
        <w:pStyle w:val="FirstParagraph"/>
      </w:pPr>
      <w:r>
        <w:t xml:space="preserve">In the context of Australia Melbourne, where environmental sustainability is a growing priority, the Architect’s commitment to green building practices is a significant focus of this Peer Review Report. The project incorporates several sustainable design strategies, including rainwater harvesting, solar orientation, and the use of low-emission materials. The Architect has aimed for a high rating under the Green Star rating system, which is widely recognized in Australia.</w:t>
      </w:r>
    </w:p>
    <w:p>
      <w:pPr>
        <w:pStyle w:val="BodyText"/>
      </w:pPr>
      <w:r>
        <w:t xml:space="preserve">The design also considers the urban heat island effect, a relevant issue in Melbourne’s changing climate. By incorporating green roofs and permeable surfaces, the Architect has demonstrated a forward-thinking approach to environmental stewardship. This alignment with sustainability goals not only benefits the environment but also enhances the long-term value and livability of the building.</w:t>
      </w:r>
    </w:p>
    <w:bookmarkEnd w:id="25"/>
    <w:bookmarkStart w:id="26" w:name="professional-conduct-and-ethics"/>
    <w:p>
      <w:pPr>
        <w:pStyle w:val="Heading2"/>
      </w:pPr>
      <w:r>
        <w:t xml:space="preserve">6. Professional Conduct and Ethics</w:t>
      </w:r>
    </w:p>
    <w:p>
      <w:pPr>
        <w:pStyle w:val="FirstParagraph"/>
      </w:pPr>
      <w:r>
        <w:t xml:space="preserve">The ethical conduct of the Architect is a fundamental aspect of this Peer Review Report. The Architect has upheld the principles of the National Code of Conduct for Architects, demonstrating integrity, honesty, and professionalism in all dealings. The review found no evidence of conflicts of interest or unethical behavior. The Architect has maintained transparent communication with clients, consultants, and authorities, fostering a collaborative and trustworthy working environment.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Architect has delivered a project of high quality that meets the stringent standards expected in Australia Melbourne. The design is innovative, contextually appropriate, and technically sound. The Architect has demonstrated a deep understanding of local regulations, sustainability principles, and professional ethics.</w:t>
      </w:r>
    </w:p>
    <w:p>
      <w:pPr>
        <w:pStyle w:val="BodyText"/>
      </w:pPr>
      <w:r>
        <w:t xml:space="preserve">It is recommended that the Architect continues to engage in professional development to stay abreast of emerging trends in sustainable design and digital construction technologies. Overall, the Architect’s performance in this project serves as a positive example of best practice within the Australian architectural profession.</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Architectural Consultant</w:t>
      </w:r>
    </w:p>
    <w:p>
      <w:pPr>
        <w:pStyle w:val="BodyText"/>
      </w:pPr>
      <w:r>
        <w:rPr>
          <w:bCs/>
          <w:b/>
        </w:rPr>
        <w:t xml:space="preserve">Registration:</w:t>
      </w:r>
      <w:r>
        <w:t xml:space="preserve"> </w:t>
      </w:r>
      <w:r>
        <w:t xml:space="preserve">ARBV Registered Architect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Australia Melbourne</dc:title>
  <dc:creator/>
  <dc:language>en</dc:language>
  <cp:keywords/>
  <dcterms:created xsi:type="dcterms:W3CDTF">2026-10-10T07:21:16Z</dcterms:created>
  <dcterms:modified xsi:type="dcterms:W3CDTF">2026-10-10T07:21:16Z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