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Architectural</w:t>
      </w:r>
      <w:r>
        <w:t xml:space="preserve"> </w:t>
      </w:r>
      <w:r>
        <w:t xml:space="preserve">Practice</w:t>
      </w:r>
      <w:r>
        <w:t xml:space="preserve"> </w:t>
      </w:r>
      <w:r>
        <w:t xml:space="preserve">in</w:t>
      </w:r>
      <w:r>
        <w:t xml:space="preserve"> </w:t>
      </w:r>
      <w:r>
        <w:t xml:space="preserve">Australia</w:t>
      </w:r>
      <w:r>
        <w:t xml:space="preserve"> </w:t>
      </w:r>
      <w:r>
        <w:t xml:space="preserve">Sydney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Architectural Practice and Professional Competency</w:t>
      </w:r>
    </w:p>
    <w:p>
      <w:pPr>
        <w:pStyle w:val="BodyText"/>
      </w:pPr>
      <w:r>
        <w:rPr>
          <w:bCs/>
          <w:b/>
        </w:rPr>
        <w:t xml:space="preserve">Location:</w:t>
      </w:r>
      <w:r>
        <w:t xml:space="preserve"> </w:t>
      </w:r>
      <w:r>
        <w:t xml:space="preserve">Australia Sydney</w:t>
      </w:r>
    </w:p>
    <w:p>
      <w:pPr>
        <w:pStyle w:val="BodyText"/>
      </w:pPr>
      <w:r>
        <w:rPr>
          <w:bCs/>
          <w:b/>
        </w:rPr>
        <w:t xml:space="preserve">Date:</w:t>
      </w:r>
      <w:r>
        <w:t xml:space="preserve"> </w:t>
      </w:r>
      <w:r>
        <w:t xml:space="preserve">October 24, 2023</w:t>
      </w:r>
    </w:p>
    <w:p>
      <w:pPr>
        <w:pStyle w:val="BodyText"/>
      </w:pPr>
      <w:r>
        <w:rPr>
          <w:bCs/>
          <w:b/>
        </w:rPr>
        <w:t xml:space="preserve">Prepared For:</w:t>
      </w:r>
      <w:r>
        <w:t xml:space="preserve"> </w:t>
      </w:r>
      <w:r>
        <w:t xml:space="preserve">The Board of Architects NSW / Professional Development Committee</w:t>
      </w:r>
    </w:p>
    <w:bookmarkEnd w:id="20"/>
    <w:bookmarkStart w:id="21" w:name="executive-summary"/>
    <w:p>
      <w:pPr>
        <w:pStyle w:val="Heading2"/>
      </w:pPr>
      <w:r>
        <w:t xml:space="preserve">1. Executive Summary</w:t>
      </w:r>
    </w:p>
    <w:p>
      <w:pPr>
        <w:pStyle w:val="FirstParagraph"/>
      </w:pPr>
      <w:r>
        <w:t xml:space="preserve">This Peer Review Report has been commissioned to evaluate the professional standing, technical competency, and ethical adherence of a practicing Architect within the jurisdiction of Australia Sydney. The review process aligns with the standards set forth by the Architects Accreditation Council of Australia (AACA) and the specific regulatory requirements of the NSW Architects Registration Board. The primary objective is to ensure that the Architect maintains the highest levels of design excellence, structural integrity, and community responsibility expected in one of the world's most dynamic urban environments.</w:t>
      </w:r>
    </w:p>
    <w:p>
      <w:pPr>
        <w:pStyle w:val="BodyText"/>
      </w:pPr>
      <w:r>
        <w:t xml:space="preserve">The findings of this report indicate a robust commitment to professional standards. The Architect demonstrates a profound understanding of the unique challenges presented by the Sydney metropolitan area, including high-density urban planning, coastal environmental constraints, and heritage conservation. This document details the methodology, observations, and recommendations arising from this comprehensive review.</w:t>
      </w:r>
    </w:p>
    <w:bookmarkEnd w:id="21"/>
    <w:bookmarkStart w:id="22" w:name="introduction-and-scope"/>
    <w:p>
      <w:pPr>
        <w:pStyle w:val="Heading2"/>
      </w:pPr>
      <w:r>
        <w:t xml:space="preserve">2. Introduction and Scope</w:t>
      </w:r>
    </w:p>
    <w:p>
      <w:pPr>
        <w:pStyle w:val="FirstParagraph"/>
      </w:pPr>
      <w:r>
        <w:t xml:space="preserve">The role of an Architect in Australia Sydney is multifaceted, requiring not only creative vision but also strict adherence to the National Construction Code (NCC) and local council development control plans (DCPs). This Peer Review Report assesses the subject Architect across several critical domains: design innovation, regulatory compliance, sustainability practices, and professional conduct.</w:t>
      </w:r>
    </w:p>
    <w:p>
      <w:pPr>
        <w:pStyle w:val="BodyText"/>
      </w:pPr>
      <w:r>
        <w:t xml:space="preserve">The scope of this review covers projects completed and currently in progress within the Greater Sydney region over the past three years. Special attention has been paid to how the Architect navigates the complex intersection of modern architectural demands and the preservation of Sydney's distinctive cultural and natural landscape. The review was conducted through site inspections, documentation audits, and interviews with stakeholders, including clients, engineers, and local council officials.</w:t>
      </w:r>
    </w:p>
    <w:bookmarkEnd w:id="22"/>
    <w:bookmarkStart w:id="23" w:name="X61e80d74770c8e4bbdedcf2bf25c1c6b675f51f"/>
    <w:p>
      <w:pPr>
        <w:pStyle w:val="Heading2"/>
      </w:pPr>
      <w:r>
        <w:t xml:space="preserve">3. Assessment of Design Excellence and Innovation</w:t>
      </w:r>
    </w:p>
    <w:p>
      <w:pPr>
        <w:pStyle w:val="FirstParagraph"/>
      </w:pPr>
      <w:r>
        <w:t xml:space="preserve">A core component of this Peer Review Report is the evaluation of the Architect's design philosophy. In the context of Australia Sydney, where the skyline is a global icon, the pressure to innovate is immense. The Architect under review has demonstrated a consistent ability to produce designs that are both aesthetically compelling and functionally superior.</w:t>
      </w:r>
    </w:p>
    <w:p>
      <w:pPr>
        <w:pStyle w:val="BodyText"/>
      </w:pPr>
      <w:r>
        <w:t xml:space="preserve">The review highlights a successful integration of biophilic design principles, which are increasingly vital in Sydney's high-density precincts. The Architect has effectively utilized natural light, ventilation, and green spaces to enhance occupant well-being. Furthermore, the use of local materials and construction techniques reflects a deep respect for the regional context. The designs do not merely occupy space; they engage with the surrounding urban fabric, contributing positively to the streetscape and community identity.</w:t>
      </w:r>
    </w:p>
    <w:bookmarkEnd w:id="23"/>
    <w:bookmarkStart w:id="24" w:name="Xf81ad1d3721a18a0f1af1e5f8148fa098484165"/>
    <w:p>
      <w:pPr>
        <w:pStyle w:val="Heading2"/>
      </w:pPr>
      <w:r>
        <w:t xml:space="preserve">4. Regulatory Compliance and Technical Proficiency</w:t>
      </w:r>
    </w:p>
    <w:p>
      <w:pPr>
        <w:pStyle w:val="FirstParagraph"/>
      </w:pPr>
      <w:r>
        <w:t xml:space="preserve">Technical proficiency is non-negotiable for any Architect practicing in Australia Sydney. This Peer Review Report confirms that the subject maintains an exemplary record of compliance with the Building Code of Australia (BCA) and the specific planning instruments of the NSW government.</w:t>
      </w:r>
    </w:p>
    <w:p>
      <w:pPr>
        <w:pStyle w:val="BodyText"/>
      </w:pPr>
      <w:r>
        <w:t xml:space="preserve">The audit of project documentation revealed meticulous attention to detail regarding fire safety, accessibility, and structural integrity. The Architect's ability to navigate the approval processes of various Sydney local councils—such as the City of Sydney, Woollahra, and North Sydney—demonstrates a sophisticated understanding of local DCPs. There were no significant breaches or non-conformities identified during the review period. The Architect's proactive approach to addressing potential regulatory issues during the design phase has minimized delays and cost overruns for clients.</w:t>
      </w:r>
    </w:p>
    <w:bookmarkEnd w:id="24"/>
    <w:bookmarkStart w:id="25" w:name="Xc3131b44cc6e0c52c0f0ebe61437dcc9cc59f37"/>
    <w:p>
      <w:pPr>
        <w:pStyle w:val="Heading2"/>
      </w:pPr>
      <w:r>
        <w:t xml:space="preserve">5. Sustainability and Environmental Responsibility</w:t>
      </w:r>
    </w:p>
    <w:p>
      <w:pPr>
        <w:pStyle w:val="FirstParagraph"/>
      </w:pPr>
      <w:r>
        <w:t xml:space="preserve">Given the environmental challenges facing Australia Sydney, including climate change impacts and biodiversity loss, sustainability is a critical metric in this Peer Review Report. The Architect has shown a strong commitment to environmentally responsible design.</w:t>
      </w:r>
    </w:p>
    <w:p>
      <w:pPr>
        <w:pStyle w:val="BodyText"/>
      </w:pPr>
      <w:r>
        <w:t xml:space="preserve">Several projects reviewed achieved high ratings under the Green Star rating system, a benchmark widely recognized in Australia. The Architect employs passive design strategies to reduce energy consumption, incorporates water-sensitive urban design (WSUD) principles to manage stormwater, and prioritizes the use of low-carbon materials. This dedication to sustainability not only meets regulatory expectations but also positions the Architect as a leader in the green building movement within Sydney.</w:t>
      </w:r>
    </w:p>
    <w:bookmarkEnd w:id="25"/>
    <w:bookmarkStart w:id="26" w:name="professional-conduct-and-ethics"/>
    <w:p>
      <w:pPr>
        <w:pStyle w:val="Heading2"/>
      </w:pPr>
      <w:r>
        <w:t xml:space="preserve">6. Professional Conduct and Ethics</w:t>
      </w:r>
    </w:p>
    <w:p>
      <w:pPr>
        <w:pStyle w:val="FirstParagraph"/>
      </w:pPr>
      <w:r>
        <w:t xml:space="preserve">The ethical conduct of an Architect is paramount to maintaining public trust. This Peer Review Report assesses the subject's adherence to the Code of Professional Conduct and Practice. The findings indicate that the Architect operates with integrity, transparency, and fairness.</w:t>
      </w:r>
    </w:p>
    <w:p>
      <w:pPr>
        <w:pStyle w:val="BodyText"/>
      </w:pPr>
      <w:r>
        <w:t xml:space="preserve">Feedback from clients and collaborators highlights the Architect's strong communication skills and collaborative approach. The Architect is noted for managing conflicts of interest appropriately and ensuring that the best interests of the client and the public are always prioritized. There were no complaints or disciplinary actions recorded during the review period.</w:t>
      </w:r>
    </w:p>
    <w:bookmarkEnd w:id="26"/>
    <w:bookmarkStart w:id="27" w:name="recommendations"/>
    <w:p>
      <w:pPr>
        <w:pStyle w:val="Heading2"/>
      </w:pPr>
      <w:r>
        <w:t xml:space="preserve">7. Recommendations</w:t>
      </w:r>
    </w:p>
    <w:p>
      <w:pPr>
        <w:pStyle w:val="FirstParagraph"/>
      </w:pPr>
      <w:r>
        <w:t xml:space="preserve">Based on the comprehensive evaluation detailed in this Peer Review Report, the following recommendations are made:</w:t>
      </w:r>
    </w:p>
    <w:p>
      <w:pPr>
        <w:numPr>
          <w:ilvl w:val="0"/>
          <w:numId w:val="1001"/>
        </w:numPr>
        <w:pStyle w:val="Compact"/>
      </w:pPr>
      <w:r>
        <w:rPr>
          <w:bCs/>
          <w:b/>
        </w:rPr>
        <w:t xml:space="preserve">Continued Professional Development:</w:t>
      </w:r>
      <w:r>
        <w:t xml:space="preserve"> </w:t>
      </w:r>
      <w:r>
        <w:t xml:space="preserve">The Architect should continue to engage in ongoing education, particularly in emerging technologies such as Building Information Modeling (BIM) and sustainable material science.</w:t>
      </w:r>
    </w:p>
    <w:p>
      <w:pPr>
        <w:numPr>
          <w:ilvl w:val="0"/>
          <w:numId w:val="1001"/>
        </w:numPr>
        <w:pStyle w:val="Compact"/>
      </w:pPr>
      <w:r>
        <w:rPr>
          <w:bCs/>
          <w:b/>
        </w:rPr>
        <w:t xml:space="preserve">Mentorship:</w:t>
      </w:r>
      <w:r>
        <w:t xml:space="preserve"> </w:t>
      </w:r>
      <w:r>
        <w:t xml:space="preserve">Given the high level of competency demonstrated, the Architect is encouraged to take on a mentorship role for emerging architects in Australia Sydney, fostering the next generation of talent.</w:t>
      </w:r>
    </w:p>
    <w:p>
      <w:pPr>
        <w:numPr>
          <w:ilvl w:val="0"/>
          <w:numId w:val="1001"/>
        </w:numPr>
        <w:pStyle w:val="Compact"/>
      </w:pPr>
      <w:r>
        <w:rPr>
          <w:bCs/>
          <w:b/>
        </w:rPr>
        <w:t xml:space="preserve">Community Engagement:</w:t>
      </w:r>
      <w:r>
        <w:t xml:space="preserve"> </w:t>
      </w:r>
      <w:r>
        <w:t xml:space="preserve">Further involvement in community-led design projects is recommended to strengthen the connection between architectural practice and public needs.</w:t>
      </w:r>
    </w:p>
    <w:bookmarkEnd w:id="27"/>
    <w:bookmarkStart w:id="28" w:name="conclusion"/>
    <w:p>
      <w:pPr>
        <w:pStyle w:val="Heading2"/>
      </w:pPr>
      <w:r>
        <w:t xml:space="preserve">8. Conclusion</w:t>
      </w:r>
    </w:p>
    <w:p>
      <w:pPr>
        <w:pStyle w:val="FirstParagraph"/>
      </w:pPr>
      <w:r>
        <w:t xml:space="preserve">In conclusion, this Peer Review Report affirms that the Architect under review meets and exceeds the professional standards required for practice in Australia Sydney. The combination of design excellence, technical rigor, sustainability focus, and ethical conduct positions this Architect as a valuable contributor to the built environment of Sydney. The review board recommends the continuation of registration and encourages the Architect to maintain this high standard of practice.</w:t>
      </w:r>
    </w:p>
    <w:bookmarkEnd w:id="28"/>
    <w:p>
      <w:pPr>
        <w:pStyle w:val="BodyText"/>
      </w:pPr>
      <w:r>
        <w:rPr>
          <w:bCs/>
          <w:b/>
        </w:rPr>
        <w:t xml:space="preserve">Report Prepared By:</w:t>
      </w:r>
    </w:p>
    <w:p>
      <w:pPr>
        <w:pStyle w:val="BodyText"/>
      </w:pPr>
      <w:r>
        <w:t xml:space="preserve">Senior Peer Reviewer</w:t>
      </w:r>
    </w:p>
    <w:p>
      <w:pPr>
        <w:pStyle w:val="BodyText"/>
      </w:pPr>
      <w:r>
        <w:t xml:space="preserve">Architectural Review Panel</w:t>
      </w:r>
    </w:p>
    <w:p>
      <w:pPr>
        <w:pStyle w:val="BodyText"/>
      </w:pPr>
      <w:r>
        <w:t xml:space="preserve">Australia Sydney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Architectural Practice in Australia Sydney</dc:title>
  <dc:creator/>
  <dc:language>en</dc:language>
  <cp:keywords/>
  <dcterms:created xsi:type="dcterms:W3CDTF">2026-10-10T07:24:40Z</dcterms:created>
  <dcterms:modified xsi:type="dcterms:W3CDTF">2026-10-10T07:24:40Z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