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Architectural Practice and Professional Competence</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technical competence, and regulatory compliance of an Architect operating within the Brussels-Capital Region of Belgium. The review aims to ensure that the Architect adheres to the highest standards of design excellence, sustainability, and legal compliance as mandated by Belgian law and the Ordre des Architectes de Belgique (OAB).</w:t>
      </w:r>
    </w:p>
    <w:p>
      <w:pPr>
        <w:pStyle w:val="BodyText"/>
      </w:pPr>
      <w:r>
        <w:t xml:space="preserve">Brussels, as a multicultural and rapidly evolving capital, presents unique challenges and opportunities for architectural practice. This report assesses the Architect’s ability to navigate these complexities while delivering projects that meet the needs of clients, communities, and the environment.</w:t>
      </w:r>
    </w:p>
    <w:bookmarkEnd w:id="21"/>
    <w:bookmarkStart w:id="22" w:name="scope-of-the-review"/>
    <w:p>
      <w:pPr>
        <w:pStyle w:val="Heading2"/>
      </w:pPr>
      <w:r>
        <w:t xml:space="preserve">2. Scope of the Review</w:t>
      </w:r>
    </w:p>
    <w:p>
      <w:pPr>
        <w:pStyle w:val="FirstParagraph"/>
      </w:pPr>
      <w:r>
        <w:t xml:space="preserve">The scope of this Peer Review Report includes the following key areas:</w:t>
      </w:r>
    </w:p>
    <w:p>
      <w:pPr>
        <w:numPr>
          <w:ilvl w:val="0"/>
          <w:numId w:val="1001"/>
        </w:numPr>
        <w:pStyle w:val="Compact"/>
      </w:pPr>
      <w:r>
        <w:t xml:space="preserve">Compliance with Belgian and Brussels-specific building regulations.</w:t>
      </w:r>
    </w:p>
    <w:p>
      <w:pPr>
        <w:numPr>
          <w:ilvl w:val="0"/>
          <w:numId w:val="1001"/>
        </w:numPr>
        <w:pStyle w:val="Compact"/>
      </w:pPr>
      <w:r>
        <w:t xml:space="preserve">Quality of architectural design and innovation.</w:t>
      </w:r>
    </w:p>
    <w:p>
      <w:pPr>
        <w:numPr>
          <w:ilvl w:val="0"/>
          <w:numId w:val="1001"/>
        </w:numPr>
        <w:pStyle w:val="Compact"/>
      </w:pPr>
      <w:r>
        <w:t xml:space="preserve">Integration of sustainable practices and energy efficiency standards.</w:t>
      </w:r>
    </w:p>
    <w:p>
      <w:pPr>
        <w:numPr>
          <w:ilvl w:val="0"/>
          <w:numId w:val="1001"/>
        </w:numPr>
        <w:pStyle w:val="Compact"/>
      </w:pPr>
      <w:r>
        <w:t xml:space="preserve">Professional conduct and ethical standards.</w:t>
      </w:r>
    </w:p>
    <w:p>
      <w:pPr>
        <w:numPr>
          <w:ilvl w:val="0"/>
          <w:numId w:val="1001"/>
        </w:numPr>
        <w:pStyle w:val="Compact"/>
      </w:pPr>
      <w:r>
        <w:t xml:space="preserve">Project management and collaboration with stakeholders.</w:t>
      </w:r>
    </w:p>
    <w:p>
      <w:pPr>
        <w:pStyle w:val="FirstParagraph"/>
      </w:pPr>
      <w:r>
        <w:t xml:space="preserve">The review is based on an analysis of recent projects, client feedback, site inspections, and documentation provided by the Architect.</w:t>
      </w:r>
    </w:p>
    <w:bookmarkEnd w:id="22"/>
    <w:bookmarkStart w:id="23" w:name="regulatory-compliance"/>
    <w:p>
      <w:pPr>
        <w:pStyle w:val="Heading2"/>
      </w:pPr>
      <w:r>
        <w:t xml:space="preserve">3. Regulatory Compliance</w:t>
      </w:r>
    </w:p>
    <w:p>
      <w:pPr>
        <w:pStyle w:val="FirstParagraph"/>
      </w:pPr>
      <w:r>
        <w:t xml:space="preserve">In Belgium, and particularly in Brussels, Architects must adhere to strict regulatory frameworks. These include the Code of Urbanism and Housing, energy performance standards (EPB), and zoning laws. The reviewed Architect demonstrates a strong understanding of these regulations, ensuring that all projects comply with local requirements.</w:t>
      </w:r>
    </w:p>
    <w:p>
      <w:pPr>
        <w:pStyle w:val="BodyText"/>
      </w:pPr>
      <w:r>
        <w:t xml:space="preserve">For instance, the Architect’s recent residential project in Ixelles successfully integrated EPB standards, achieving a high energy performance rating. Additionally, the project respected the historical character of the neighborhood, aligning with Brussels’ urban planning guidelines for heritage conservation.</w:t>
      </w:r>
    </w:p>
    <w:bookmarkEnd w:id="23"/>
    <w:bookmarkStart w:id="24" w:name="design-excellence-and-innovation"/>
    <w:p>
      <w:pPr>
        <w:pStyle w:val="Heading2"/>
      </w:pPr>
      <w:r>
        <w:t xml:space="preserve">4. Design Excellence and Innovation</w:t>
      </w:r>
    </w:p>
    <w:p>
      <w:pPr>
        <w:pStyle w:val="FirstParagraph"/>
      </w:pPr>
      <w:r>
        <w:t xml:space="preserve">Brussels is known for its architectural diversity, ranging from Art Nouveau masterpieces to contemporary structures. The reviewed Architect exhibits a keen ability to blend modern design principles with the city’s rich cultural heritage. Their work reflects creativity, functionality, and sensitivity to context.</w:t>
      </w:r>
    </w:p>
    <w:p>
      <w:pPr>
        <w:pStyle w:val="BodyText"/>
      </w:pPr>
      <w:r>
        <w:t xml:space="preserve">A notable example is the renovation of a commercial building in the European Quarter, where the Architect incorporated innovative materials and spatial configurations to enhance usability while maintaining aesthetic harmony with surrounding structures. This project received positive feedback from both clients and local authorities.</w:t>
      </w:r>
    </w:p>
    <w:bookmarkEnd w:id="24"/>
    <w:bookmarkStart w:id="25" w:name="Xc3131b44cc6e0c52c0f0ebe61437dcc9cc59f37"/>
    <w:p>
      <w:pPr>
        <w:pStyle w:val="Heading2"/>
      </w:pPr>
      <w:r>
        <w:t xml:space="preserve">5. Sustainability and Environmental Responsibility</w:t>
      </w:r>
    </w:p>
    <w:p>
      <w:pPr>
        <w:pStyle w:val="FirstParagraph"/>
      </w:pPr>
      <w:r>
        <w:t xml:space="preserve">Sustainability is a critical aspect of architectural practice in Brussels, driven by the city’s commitment to reducing its carbon footprint. The reviewed Architect consistently prioritizes eco-friendly solutions, such as renewable energy systems, green roofs, and sustainable materials.</w:t>
      </w:r>
    </w:p>
    <w:p>
      <w:pPr>
        <w:pStyle w:val="BodyText"/>
      </w:pPr>
      <w:r>
        <w:t xml:space="preserve">In a recent office building project, the Architect implemented a rainwater harvesting system and optimized natural lighting to reduce energy consumption. These measures not only aligned with Brussels’ environmental goals but also contributed to long-term cost savings for the client.</w:t>
      </w:r>
    </w:p>
    <w:bookmarkEnd w:id="25"/>
    <w:bookmarkStart w:id="26" w:name="professional-conduct-and-ethics"/>
    <w:p>
      <w:pPr>
        <w:pStyle w:val="Heading2"/>
      </w:pPr>
      <w:r>
        <w:t xml:space="preserve">6. Professional Conduct and Ethics</w:t>
      </w:r>
    </w:p>
    <w:p>
      <w:pPr>
        <w:pStyle w:val="FirstParagraph"/>
      </w:pPr>
      <w:r>
        <w:t xml:space="preserve">The Architect’s professional conduct aligns with the ethical standards set by the OAB. They demonstrate integrity, transparency, and a client-centered approach in all interactions. Feedback from clients and collaborators highlights their reliability, responsiveness, and commitment to delivering high-quality results.</w:t>
      </w:r>
    </w:p>
    <w:p>
      <w:pPr>
        <w:pStyle w:val="BodyText"/>
      </w:pPr>
      <w:r>
        <w:t xml:space="preserve">Furthermore, the Architect actively engages in continuing education and professional development, staying updated on emerging trends and technologies in the field. This dedication ensures that their practice remains relevant and competitive in Brussels’ dynamic market.</w:t>
      </w:r>
    </w:p>
    <w:bookmarkEnd w:id="26"/>
    <w:bookmarkStart w:id="27" w:name="project-management-and-collaboration"/>
    <w:p>
      <w:pPr>
        <w:pStyle w:val="Heading2"/>
      </w:pPr>
      <w:r>
        <w:t xml:space="preserve">7. Project Management and Collaboration</w:t>
      </w:r>
    </w:p>
    <w:p>
      <w:pPr>
        <w:pStyle w:val="FirstParagraph"/>
      </w:pPr>
      <w:r>
        <w:t xml:space="preserve">Effective project management is essential for the successful delivery of architectural projects. The reviewed Architect excels in coordinating multidisciplinary teams, including engineers, contractors, and consultants. Their ability to communicate clearly and resolve conflicts efficiently contributes to smooth project execution.</w:t>
      </w:r>
    </w:p>
    <w:p>
      <w:pPr>
        <w:pStyle w:val="BodyText"/>
      </w:pPr>
      <w:r>
        <w:t xml:space="preserve">For example, during the construction of a mixed-use development in Schaerbeek, the Architect maintained close collaboration with stakeholders, ensuring that the project stayed on schedule and within budget. Their proactive approach to problem-solving minimized delays and enhanced overall project outcomes.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sustainability and innovation in all projects.</w:t>
      </w:r>
    </w:p>
    <w:p>
      <w:pPr>
        <w:numPr>
          <w:ilvl w:val="0"/>
          <w:numId w:val="1002"/>
        </w:numPr>
        <w:pStyle w:val="Compact"/>
      </w:pPr>
      <w:r>
        <w:t xml:space="preserve">Explore opportunities for community engagement to enhance public perception and support.</w:t>
      </w:r>
    </w:p>
    <w:p>
      <w:pPr>
        <w:numPr>
          <w:ilvl w:val="0"/>
          <w:numId w:val="1002"/>
        </w:numPr>
        <w:pStyle w:val="Compact"/>
      </w:pPr>
      <w:r>
        <w:t xml:space="preserve">Invest in advanced digital tools, such as Building Information Modeling (BIM), to improve design precision and collaboration.</w:t>
      </w:r>
    </w:p>
    <w:bookmarkEnd w:id="28"/>
    <w:bookmarkStart w:id="29" w:name="conclusion"/>
    <w:p>
      <w:pPr>
        <w:pStyle w:val="Heading2"/>
      </w:pPr>
      <w:r>
        <w:t xml:space="preserve">9. Conclusion</w:t>
      </w:r>
    </w:p>
    <w:p>
      <w:pPr>
        <w:pStyle w:val="FirstParagraph"/>
      </w:pPr>
      <w:r>
        <w:t xml:space="preserve">The reviewed Architect demonstrates exceptional competence, creativity, and professionalism in their practice within Brussels, Belgium. Their adherence to regulatory standards, commitment to sustainability, and dedication to design excellence make them a valuable contributor to the city’s architectural landscape. This Peer Review Report affirms their suitability to continue practicing at the highest level.</w:t>
      </w:r>
    </w:p>
    <w:bookmarkEnd w:id="29"/>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Brussels, Belgium</dc:title>
  <dc:creator/>
  <dc:language>en</dc:language>
  <cp:keywords/>
  <dcterms:created xsi:type="dcterms:W3CDTF">2026-10-10T06:52:22Z</dcterms:created>
  <dcterms:modified xsi:type="dcterms:W3CDTF">2026-10-10T06:52:22Z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