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Practice and Professional Competency</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Association of Architects of Ontario (AAO)</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practice, technical competency, and ethical adherence of a registered Architect operating within the jurisdiction of Canada Toronto. The review is conducted in accordance with the standards set forth by the Ontario Association of Architects (OAA) and the broader regulatory framework governing the architectural profession in Canada. The primary objective of this report is to ensure that the Architect maintains the highest levels of professional integrity, technical proficiency, and public safety, which are paramount in the complex urban environment of Toronto.</w:t>
      </w:r>
    </w:p>
    <w:p>
      <w:pPr>
        <w:pStyle w:val="BodyText"/>
      </w:pPr>
      <w:r>
        <w:t xml:space="preserve">The scope of this review encompasses an analysis of recent project portfolios, compliance with the Ontario Building Code (OBC), adherence to municipal zoning bylaws specific to Toronto, and the management of professional responsibilities. As Toronto continues to experience rapid urbanization and high-density development, the role of the Architect is critical in balancing innovation with regulatory compliance and sustainability.</w:t>
      </w:r>
    </w:p>
    <w:bookmarkEnd w:id="21"/>
    <w:bookmarkStart w:id="22" w:name="regulatory-compliance-and-code-adherence"/>
    <w:p>
      <w:pPr>
        <w:pStyle w:val="Heading2"/>
      </w:pPr>
      <w:r>
        <w:t xml:space="preserve">2. Regulatory Compliance and Code Adherence</w:t>
      </w:r>
    </w:p>
    <w:p>
      <w:pPr>
        <w:pStyle w:val="FirstParagraph"/>
      </w:pPr>
      <w:r>
        <w:t xml:space="preserve">A fundamental aspect of this Peer Review Report is the assessment of the Architect's adherence to the Ontario Building Code. The review team examined three recent residential and commercial projects located in the Greater Toronto Area (GTA). The findings indicate a robust understanding of the OBC, particularly regarding fire safety, accessibility, and structural integrity. The Architect demonstrated a meticulous approach to ensuring that all designs met the stringent requirements necessary for occupancy permits in Canada Toronto.</w:t>
      </w:r>
    </w:p>
    <w:p>
      <w:pPr>
        <w:pStyle w:val="BodyText"/>
      </w:pPr>
      <w:r>
        <w:t xml:space="preserve">Furthermore, the review assessed compliance with the City of Toronto’s zoning regulations. Given the density of Toronto, navigating the nuances of height limits, setbacks, and parking requirements is essential. The Architect under review displayed a high level of competence in interpreting these municipal bylaws, ensuring that project proposals were viable and legally sound before submission to the city planning department. This diligence minimizes the risk of delays and legal complications, reflecting a strong commitment to professional standards.</w:t>
      </w:r>
    </w:p>
    <w:bookmarkEnd w:id="22"/>
    <w:bookmarkStart w:id="23" w:name="technical-competency-and-design-quality"/>
    <w:p>
      <w:pPr>
        <w:pStyle w:val="Heading2"/>
      </w:pPr>
      <w:r>
        <w:t xml:space="preserve">3. Technical Competency and Design Quality</w:t>
      </w:r>
    </w:p>
    <w:p>
      <w:pPr>
        <w:pStyle w:val="FirstParagraph"/>
      </w:pPr>
      <w:r>
        <w:t xml:space="preserve">The technical competency of the Architect was evaluated through a detailed examination of construction documents, specifications, and site supervision records. The review found that the Architect produces clear, comprehensive, and coordinated documentation. This is crucial in the Canadian construction industry, where precise communication between architects, engineers, and contractors is vital for project success.</w:t>
      </w:r>
    </w:p>
    <w:p>
      <w:pPr>
        <w:pStyle w:val="BodyText"/>
      </w:pPr>
      <w:r>
        <w:t xml:space="preserve">In the context of Canada Toronto, the Architect has shown a commendable ability to integrate sustainable design principles. With Toronto’s commitment to reducing its carbon footprint, the incorporation of energy-efficient systems, green building materials, and LEED certification strategies is increasingly important. The Architect’s portfolio demonstrates a proactive approach to sustainability, aligning with both provincial environmental goals and the expectations of modern clients in Toronto.</w:t>
      </w:r>
    </w:p>
    <w:bookmarkEnd w:id="23"/>
    <w:bookmarkStart w:id="24" w:name="professional-ethics-and-client-relations"/>
    <w:p>
      <w:pPr>
        <w:pStyle w:val="Heading2"/>
      </w:pPr>
      <w:r>
        <w:t xml:space="preserve">4. Professional Ethics and Client Relations</w:t>
      </w:r>
    </w:p>
    <w:p>
      <w:pPr>
        <w:pStyle w:val="FirstParagraph"/>
      </w:pPr>
      <w:r>
        <w:t xml:space="preserve">Ethical conduct is a cornerstone of the architectural profession. This Peer Review Report investigated the Architect’s adherence to the OAA Code of Ethics. The review included interviews with past clients, contractors, and consultants. Feedback was overwhelmingly positive, highlighting the Architect’s transparency, honesty, and dedication to client advocacy.</w:t>
      </w:r>
    </w:p>
    <w:p>
      <w:pPr>
        <w:pStyle w:val="BodyText"/>
      </w:pPr>
      <w:r>
        <w:t xml:space="preserve">The Architect was found to maintain clear boundaries regarding conflicts of interest and to handle financial matters with integrity. In the competitive market of Canada Toronto, maintaining trust with clients is essential. The Architect’s ability to manage client expectations while upholding professional standards reflects a mature and ethical practice.</w:t>
      </w:r>
    </w:p>
    <w:bookmarkEnd w:id="24"/>
    <w:bookmarkStart w:id="25" w:name="X36494ec4c53ac4fe4f6e578d9cd83e65a783d08"/>
    <w:p>
      <w:pPr>
        <w:pStyle w:val="Heading2"/>
      </w:pPr>
      <w:r>
        <w:t xml:space="preserve">5. Risk Management and Professional Liability</w:t>
      </w:r>
    </w:p>
    <w:p>
      <w:pPr>
        <w:pStyle w:val="FirstParagraph"/>
      </w:pPr>
      <w:r>
        <w:t xml:space="preserve">Risk management is a critical component of architectural practice. The review assessed the Architect’s approach to professional liability insurance and error prevention. The Architect maintains adequate professional liability coverage as required by the OAA. Additionally, the practice employs rigorous quality control measures, including internal peer reviews of drawings and specifications, to minimize the risk of errors and omissions.</w:t>
      </w:r>
    </w:p>
    <w:p>
      <w:pPr>
        <w:pStyle w:val="BodyText"/>
      </w:pPr>
      <w:r>
        <w:t xml:space="preserve">The Architect also demonstrated a strong understanding of the legal responsibilities associated with construction administration in Ontario. Regular site visits and thorough documentation of site conditions were observed, ensuring that the built work aligns with the design intent and regulatory requirements.</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for this Peer Review Report, it is concluded that the Architect under review meets and, in many areas, exceeds the professional standards expected of a licensed Architect in Canada Toronto. The practice demonstrates a strong commitment to regulatory compliance, technical excellence, ethical conduct, and sustainable design.</w:t>
      </w:r>
    </w:p>
    <w:p>
      <w:pPr>
        <w:pStyle w:val="BodyText"/>
      </w:pPr>
      <w:r>
        <w:t xml:space="preserve">The review team recommends the following:</w:t>
      </w:r>
    </w:p>
    <w:p>
      <w:pPr>
        <w:numPr>
          <w:ilvl w:val="0"/>
          <w:numId w:val="1001"/>
        </w:numPr>
        <w:pStyle w:val="Compact"/>
      </w:pPr>
      <w:r>
        <w:t xml:space="preserve">Continue to engage in ongoing professional development to stay abreast of changes in the Ontario Building Code and Toronto municipal bylaws.</w:t>
      </w:r>
    </w:p>
    <w:p>
      <w:pPr>
        <w:numPr>
          <w:ilvl w:val="0"/>
          <w:numId w:val="1001"/>
        </w:numPr>
        <w:pStyle w:val="Compact"/>
      </w:pPr>
      <w:r>
        <w:t xml:space="preserve">Further integrate digital tools such as Building Information Modeling (BIM) to enhance collaboration and efficiency in complex urban projects.</w:t>
      </w:r>
    </w:p>
    <w:p>
      <w:pPr>
        <w:numPr>
          <w:ilvl w:val="0"/>
          <w:numId w:val="1001"/>
        </w:numPr>
        <w:pStyle w:val="Compact"/>
      </w:pPr>
      <w:r>
        <w:t xml:space="preserve">Maintain the current high standards of client communication and ethical practice.</w:t>
      </w:r>
    </w:p>
    <w:p>
      <w:pPr>
        <w:pStyle w:val="FirstParagraph"/>
      </w:pPr>
      <w:r>
        <w:t xml:space="preserve">This Peer Review Report affirms the Architect’s suitability to continue practicing in the jurisdiction of Canada Toronto, contributing positively to the built environment and the profession as a whole.</w:t>
      </w:r>
    </w:p>
    <w:bookmarkEnd w:id="26"/>
    <w:p>
      <w:pPr>
        <w:pStyle w:val="BodyText"/>
      </w:pPr>
      <w:r>
        <w:rPr>
          <w:bCs/>
          <w:b/>
        </w:rPr>
        <w:t xml:space="preserve">Report Prepared By:</w:t>
      </w:r>
    </w:p>
    <w:p>
      <w:pPr>
        <w:pStyle w:val="BodyText"/>
      </w:pPr>
      <w:r>
        <w:t xml:space="preserve">Senior Peer Review Committee</w:t>
      </w:r>
    </w:p>
    <w:p>
      <w:pPr>
        <w:pStyle w:val="BodyText"/>
      </w:pPr>
      <w:r>
        <w:t xml:space="preserve">Association of Architects of Ontario</w:t>
      </w:r>
    </w:p>
    <w:p>
      <w:pPr>
        <w:pStyle w:val="BodyText"/>
      </w:pPr>
      <w:r>
        <w:t xml:space="preserve">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Canada Toronto</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