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t xml:space="preserve">Professional Evaluation of Architectural Competency and Project Execution</w:t>
      </w:r>
    </w:p>
    <w:bookmarkEnd w:id="20"/>
    <w:p>
      <w:pPr>
        <w:pStyle w:val="BodyText"/>
      </w:pPr>
      <w:r>
        <w:rPr>
          <w:bCs/>
          <w:b/>
        </w:rPr>
        <w:t xml:space="preserve">Subject:</w:t>
      </w:r>
      <w:r>
        <w:t xml:space="preserve"> </w:t>
      </w:r>
      <w:r>
        <w:t xml:space="preserve">Senior Architect / Design Lead</w:t>
      </w:r>
    </w:p>
    <w:p>
      <w:pPr>
        <w:pStyle w:val="BodyText"/>
      </w:pPr>
      <w:r>
        <w:rPr>
          <w:bCs/>
          <w:b/>
        </w:rPr>
        <w:t xml:space="preserve">Location:</w:t>
      </w:r>
      <w:r>
        <w:t xml:space="preserve"> </w:t>
      </w:r>
      <w:r>
        <w:t xml:space="preserve">China Beijing</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Q3 2024</w:t>
      </w:r>
    </w:p>
    <w:p>
      <w:pPr>
        <w:pStyle w:val="BodyText"/>
      </w:pPr>
      <w:r>
        <w:rPr>
          <w:bCs/>
          <w:b/>
        </w:rPr>
        <w:t xml:space="preserve">Project Focus:</w:t>
      </w:r>
      <w:r>
        <w:t xml:space="preserve"> </w:t>
      </w:r>
      <w:r>
        <w:t xml:space="preserve">Urban Regeneration &amp; Mixed-Use Development</w:t>
      </w:r>
    </w:p>
    <w:p>
      <w:pPr>
        <w:pStyle w:val="BodyText"/>
      </w:pPr>
      <w:r>
        <w:rPr>
          <w:bCs/>
          <w:b/>
        </w:rPr>
        <w:t xml:space="preserve">Reviewer:</w:t>
      </w:r>
      <w:r>
        <w:t xml:space="preserve"> </w:t>
      </w:r>
      <w:r>
        <w:t xml:space="preserve">Senior Technical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acumen, and design leadership of the designated</w:t>
      </w:r>
      <w:r>
        <w:t xml:space="preserve"> </w:t>
      </w:r>
      <w:r>
        <w:rPr>
          <w:bCs/>
          <w:b/>
        </w:rPr>
        <w:t xml:space="preserve">Architect</w:t>
      </w:r>
      <w:r>
        <w:t xml:space="preserve"> </w:t>
      </w:r>
      <w:r>
        <w:t xml:space="preserve">operating within the dynamic urban landscape of</w:t>
      </w:r>
      <w:r>
        <w:t xml:space="preserve"> </w:t>
      </w:r>
      <w:r>
        <w:rPr>
          <w:bCs/>
          <w:b/>
        </w:rPr>
        <w:t xml:space="preserve">China Beijing</w:t>
      </w:r>
      <w:r>
        <w:t xml:space="preserve">. The review assesses the individual's ability to navigate the complex regulatory environment, cultural nuances, and high-density urban challenges specific to the capital city. Over the past review period, the Architect has demonstrated a robust capacity to integrate sustainable design principles with the rigorous demands of Beijing’s municipal planning codes. This document outlines specific observations regarding design quality, technical compliance, stakeholder management, and adherence to local construction standards.</w:t>
      </w:r>
    </w:p>
    <w:bookmarkEnd w:id="21"/>
    <w:bookmarkStart w:id="22" w:name="X5cb12616d1f65f1de8e4456418a06ed9062420a"/>
    <w:p>
      <w:pPr>
        <w:pStyle w:val="Heading2"/>
      </w:pPr>
      <w:r>
        <w:t xml:space="preserve">2. Contextual Analysis: The Beijing Environment</w:t>
      </w:r>
    </w:p>
    <w:p>
      <w:pPr>
        <w:pStyle w:val="FirstParagraph"/>
      </w:pPr>
      <w:r>
        <w:t xml:space="preserve">Practicing as an</w:t>
      </w:r>
      <w:r>
        <w:t xml:space="preserve"> </w:t>
      </w:r>
      <w:r>
        <w:rPr>
          <w:bCs/>
          <w:b/>
        </w:rPr>
        <w:t xml:space="preserve">Architect</w:t>
      </w:r>
      <w:r>
        <w:t xml:space="preserve"> </w:t>
      </w:r>
      <w:r>
        <w:t xml:space="preserve">in</w:t>
      </w:r>
      <w:r>
        <w:t xml:space="preserve"> </w:t>
      </w:r>
      <w:r>
        <w:rPr>
          <w:bCs/>
          <w:b/>
        </w:rPr>
        <w:t xml:space="preserve">China Beijing</w:t>
      </w:r>
      <w:r>
        <w:t xml:space="preserve"> </w:t>
      </w:r>
      <w:r>
        <w:t xml:space="preserve">requires a specialized skill set that goes beyond standard international design practices. The city presents unique challenges, including strict height restrictions in certain zones, heritage preservation mandates near the Forbidden City and hutong districts, and aggressive green building targets. This</w:t>
      </w:r>
      <w:r>
        <w:t xml:space="preserve"> </w:t>
      </w:r>
      <w:r>
        <w:rPr>
          <w:bCs/>
          <w:b/>
        </w:rPr>
        <w:t xml:space="preserve">Peer Review Report</w:t>
      </w:r>
      <w:r>
        <w:t xml:space="preserve"> </w:t>
      </w:r>
      <w:r>
        <w:t xml:space="preserve">specifically evaluates how the subject has adapted their workflow to these constraints.</w:t>
      </w:r>
    </w:p>
    <w:p>
      <w:pPr>
        <w:pStyle w:val="BodyText"/>
      </w:pPr>
      <w:r>
        <w:t xml:space="preserve">The Architect has shown a commendable understanding of the "Dual Carbon" goals (Peak Carbon and Carbon Neutrality) which are heavily enforced in Beijing. The ability to align design proposals with the Beijing Municipal Commission of Housing and Urban-Rural Development regulations is a critical metric for this review. The subject has successfully navigated the approval processes for multiple projects, demonstrating a deep familiarity with local zoning laws and fire safety codes, which are notoriously stringent in the region.</w:t>
      </w:r>
    </w:p>
    <w:bookmarkEnd w:id="22"/>
    <w:bookmarkStart w:id="23" w:name="design-quality-and-innovation"/>
    <w:p>
      <w:pPr>
        <w:pStyle w:val="Heading2"/>
      </w:pPr>
      <w:r>
        <w:t xml:space="preserve">3. Design Quality and Innovation</w:t>
      </w:r>
    </w:p>
    <w:p>
      <w:pPr>
        <w:pStyle w:val="FirstParagraph"/>
      </w:pPr>
      <w:r>
        <w:t xml:space="preserve">In terms of aesthetic and functional design, the</w:t>
      </w:r>
      <w:r>
        <w:t xml:space="preserve"> </w:t>
      </w:r>
      <w:r>
        <w:rPr>
          <w:bCs/>
          <w:b/>
        </w:rPr>
        <w:t xml:space="preserve">Architect</w:t>
      </w:r>
      <w:r>
        <w:t xml:space="preserve"> </w:t>
      </w:r>
      <w:r>
        <w:t xml:space="preserve">has delivered solutions that respect the historical context of</w:t>
      </w:r>
      <w:r>
        <w:t xml:space="preserve"> </w:t>
      </w:r>
      <w:r>
        <w:rPr>
          <w:bCs/>
          <w:b/>
        </w:rPr>
        <w:t xml:space="preserve">China Beijing</w:t>
      </w:r>
      <w:r>
        <w:t xml:space="preserve"> </w:t>
      </w:r>
      <w:r>
        <w:t xml:space="preserve">while embracing modernity. The review committee notes a successful integration of traditional Chinese architectural elements—such as courtyard layouts and specific material palettes—into contemporary high-rise structures. This contextual sensitivity is vital for projects in Beijing, where new developments must coexist with millennia of history.</w:t>
      </w:r>
    </w:p>
    <w:p>
      <w:pPr>
        <w:pStyle w:val="BodyText"/>
      </w:pPr>
      <w:r>
        <w:t xml:space="preserve">Furthermore, the Architect has utilized advanced parametric design tools to optimize building envelopes for Beijing’s distinct continental climate, characterized by cold, dry winters and hot, humid summers. The thermal performance simulations submitted during the design development phase were thorough and aligned with the GB 50189 standard for energy efficiency. This technical rigor ensures that the buildings are not only visually striking but also operationally efficient, a key requirement for modern development in the capital.</w:t>
      </w:r>
    </w:p>
    <w:bookmarkEnd w:id="23"/>
    <w:bookmarkStart w:id="24" w:name="technical-compliance-and-documentation"/>
    <w:p>
      <w:pPr>
        <w:pStyle w:val="Heading2"/>
      </w:pPr>
      <w:r>
        <w:t xml:space="preserve">4. Technical Compliance and Documentation</w:t>
      </w:r>
    </w:p>
    <w:p>
      <w:pPr>
        <w:pStyle w:val="FirstParagraph"/>
      </w:pPr>
      <w:r>
        <w:t xml:space="preserve">A significant portion of this</w:t>
      </w:r>
      <w:r>
        <w:t xml:space="preserve"> </w:t>
      </w:r>
      <w:r>
        <w:rPr>
          <w:bCs/>
          <w:b/>
        </w:rPr>
        <w:t xml:space="preserve">Peer Review Report</w:t>
      </w:r>
      <w:r>
        <w:t xml:space="preserve"> </w:t>
      </w:r>
      <w:r>
        <w:t xml:space="preserve">focuses on the accuracy and completeness of technical documentation. In</w:t>
      </w:r>
      <w:r>
        <w:t xml:space="preserve"> </w:t>
      </w:r>
      <w:r>
        <w:rPr>
          <w:bCs/>
          <w:b/>
        </w:rPr>
        <w:t xml:space="preserve">China Beijing</w:t>
      </w:r>
      <w:r>
        <w:t xml:space="preserve">, the construction documentation process is highly detailed and requires strict adherence to national standards (GB Standards). The Architect has maintained a high level of precision in drawing production, ensuring that structural, MEP (Mechanical, Electrical, and Plumbing), and architectural drawings are fully coordinated.</w:t>
      </w:r>
    </w:p>
    <w:p>
      <w:pPr>
        <w:pStyle w:val="BodyText"/>
      </w:pPr>
      <w:r>
        <w:t xml:space="preserve">The review highlights the Architect’s proficiency in managing the interface between international design concepts and local engineering practices. There were minimal discrepancies noted during the construction administration phase, indicating a strong command of local construction methodologies and material availability. The subject’s ability to produce compliant documentation accelerated the permitting process, a critical factor in the fast-paced development cycle of Beijing.</w:t>
      </w:r>
    </w:p>
    <w:bookmarkEnd w:id="24"/>
    <w:bookmarkStart w:id="25" w:name="stakeholder-management-and-collaboration"/>
    <w:p>
      <w:pPr>
        <w:pStyle w:val="Heading2"/>
      </w:pPr>
      <w:r>
        <w:t xml:space="preserve">5. Stakeholder Management and Collaboration</w:t>
      </w:r>
    </w:p>
    <w:p>
      <w:pPr>
        <w:pStyle w:val="FirstParagraph"/>
      </w:pPr>
      <w:r>
        <w:t xml:space="preserve">Operating in</w:t>
      </w:r>
      <w:r>
        <w:t xml:space="preserve"> </w:t>
      </w:r>
      <w:r>
        <w:rPr>
          <w:bCs/>
          <w:b/>
        </w:rPr>
        <w:t xml:space="preserve">China Beijing</w:t>
      </w:r>
      <w:r>
        <w:t xml:space="preserve"> </w:t>
      </w:r>
      <w:r>
        <w:t xml:space="preserve">involves navigating a complex web of stakeholders, including state-owned enterprises, local government bodies, and international investors. The</w:t>
      </w:r>
      <w:r>
        <w:t xml:space="preserve"> </w:t>
      </w:r>
      <w:r>
        <w:rPr>
          <w:bCs/>
          <w:b/>
        </w:rPr>
        <w:t xml:space="preserve">Architect</w:t>
      </w:r>
      <w:r>
        <w:t xml:space="preserve"> </w:t>
      </w:r>
      <w:r>
        <w:t xml:space="preserve">has demonstrated exceptional communication skills, effectively bridging cultural and linguistic gaps. This</w:t>
      </w:r>
      <w:r>
        <w:t xml:space="preserve"> </w:t>
      </w:r>
      <w:r>
        <w:rPr>
          <w:bCs/>
          <w:b/>
        </w:rPr>
        <w:t xml:space="preserve">Peer Review Report</w:t>
      </w:r>
      <w:r>
        <w:t xml:space="preserve"> </w:t>
      </w:r>
      <w:r>
        <w:t xml:space="preserve">acknowledges the subject’s ability to present design rationales clearly to non-technical stakeholders, securing buy-in for innovative design features that might otherwise be rejected due to perceived risk.</w:t>
      </w:r>
    </w:p>
    <w:p>
      <w:pPr>
        <w:pStyle w:val="BodyText"/>
      </w:pPr>
      <w:r>
        <w:t xml:space="preserve">Collaboration with local consultants was seamless. The Architect fostered a cooperative environment, ensuring that local expertise in geotechnical engineering and urban planning was fully leveraged. This collaborative approach is essential for success in Beijing, where local knowledge often dictates the feasibility of a project.</w:t>
      </w:r>
    </w:p>
    <w:bookmarkEnd w:id="25"/>
    <w:bookmarkStart w:id="26" w:name="areas-for-improvement"/>
    <w:p>
      <w:pPr>
        <w:pStyle w:val="Heading2"/>
      </w:pPr>
      <w:r>
        <w:t xml:space="preserve">6.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areas for continued growth. The Architect should further deepen their engagement with digital twin technologies, which are increasingly being mandated for large-scale infrastructure projects in Beijing. Additionally, while the design quality is high, there is an opportunity to further standardize the BIM (Building Information Modeling) workflows to ensure even greater consistency across multiple project teams operating in the region.</w:t>
      </w:r>
    </w:p>
    <w:bookmarkEnd w:id="26"/>
    <w:bookmarkStart w:id="28" w:name="conclusion-and-rating"/>
    <w:p>
      <w:pPr>
        <w:pStyle w:val="Heading2"/>
      </w:pPr>
      <w:r>
        <w:t xml:space="preserve">7. Conclusion and Rating</w:t>
      </w:r>
    </w:p>
    <w:p>
      <w:pPr>
        <w:pStyle w:val="FirstParagraph"/>
      </w:pPr>
      <w:r>
        <w:t xml:space="preserve">In conclusion, the</w:t>
      </w:r>
      <w:r>
        <w:t xml:space="preserve"> </w:t>
      </w:r>
      <w:r>
        <w:rPr>
          <w:bCs/>
          <w:b/>
        </w:rPr>
        <w:t xml:space="preserve">Architect</w:t>
      </w:r>
      <w:r>
        <w:t xml:space="preserve"> </w:t>
      </w:r>
      <w:r>
        <w:t xml:space="preserve">has proven to be a highly competent and adaptable professional capable of delivering world-class design within the specific constraints of</w:t>
      </w:r>
      <w:r>
        <w:t xml:space="preserve"> </w:t>
      </w:r>
      <w:r>
        <w:rPr>
          <w:bCs/>
          <w:b/>
        </w:rPr>
        <w:t xml:space="preserve">China Beijing</w:t>
      </w:r>
      <w:r>
        <w:t xml:space="preserve">. Their work reflects a deep respect for local culture, a rigorous adherence to technical standards, and a forward-thinking approach to sustainability. This</w:t>
      </w:r>
      <w:r>
        <w:t xml:space="preserve"> </w:t>
      </w:r>
      <w:r>
        <w:rPr>
          <w:bCs/>
          <w:b/>
        </w:rPr>
        <w:t xml:space="preserve">Peer Review Report</w:t>
      </w:r>
      <w:r>
        <w:t xml:space="preserve"> </w:t>
      </w:r>
      <w:r>
        <w:t xml:space="preserve">recommends continued support and leadership opportunities for the subject.</w:t>
      </w:r>
    </w:p>
    <w:bookmarkStart w:id="27" w:name="performance-ratings-scale-1-5"/>
    <w:p>
      <w:pPr>
        <w:pStyle w:val="Heading3"/>
      </w:pPr>
      <w:r>
        <w:t xml:space="preserve">Performance Ratings (Scale 1-5)</w:t>
      </w:r>
    </w:p>
    <w:p>
      <w:pPr>
        <w:pStyle w:val="FirstParagraph"/>
      </w:pPr>
      <w:r>
        <w:t xml:space="preserve">Design Excellence &amp; Contextual Fit</w:t>
      </w:r>
      <w:r>
        <w:t xml:space="preserve"> </w:t>
      </w:r>
      <w:r>
        <w:t xml:space="preserve">5/5</w:t>
      </w:r>
    </w:p>
    <w:p>
      <w:pPr>
        <w:pStyle w:val="BodyText"/>
      </w:pPr>
      <w:r>
        <w:t xml:space="preserve">Technical Compliance (GB Standards)</w:t>
      </w:r>
      <w:r>
        <w:t xml:space="preserve"> </w:t>
      </w:r>
      <w:r>
        <w:t xml:space="preserve">5/5</w:t>
      </w:r>
    </w:p>
    <w:p>
      <w:pPr>
        <w:pStyle w:val="BodyText"/>
      </w:pPr>
      <w:r>
        <w:t xml:space="preserve">Regulatory Navigation (Beijing Specific)</w:t>
      </w:r>
      <w:r>
        <w:t xml:space="preserve"> </w:t>
      </w:r>
      <w:r>
        <w:t xml:space="preserve">4/5</w:t>
      </w:r>
    </w:p>
    <w:p>
      <w:pPr>
        <w:pStyle w:val="BodyText"/>
      </w:pPr>
      <w:r>
        <w:t xml:space="preserve">Sustainability &amp; Energy Efficiency</w:t>
      </w:r>
      <w:r>
        <w:t xml:space="preserve"> </w:t>
      </w:r>
      <w:r>
        <w:t xml:space="preserve">5/5</w:t>
      </w:r>
    </w:p>
    <w:p>
      <w:pPr>
        <w:pStyle w:val="BodyText"/>
      </w:pPr>
      <w:r>
        <w:t xml:space="preserve">Stakeholder Communication</w:t>
      </w:r>
      <w:r>
        <w:t xml:space="preserve"> </w:t>
      </w:r>
      <w:r>
        <w:t xml:space="preserve">5/5</w:t>
      </w:r>
    </w:p>
    <w:bookmarkEnd w:id="27"/>
    <w:p>
      <w:pPr>
        <w:pStyle w:val="BodyText"/>
      </w:pPr>
      <w:r>
        <w:t xml:space="preserve">This Peer Review Report is confidential and intended solely for the use of the designated Architect and the reviewing committee. Generated for professional development purposes within the context of architectural practice in China Beijing.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China Beijing</dc:title>
  <dc:creator/>
  <dc:language>en</dc:language>
  <cp:keywords/>
  <dcterms:created xsi:type="dcterms:W3CDTF">2026-10-10T09:13:47Z</dcterms:created>
  <dcterms:modified xsi:type="dcterms:W3CDTF">2026-10-10T09:13:47Z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