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t xml:space="preserve">Independent Assessment of Architectural Competence and Practice Standards</w:t>
      </w:r>
    </w:p>
    <w:bookmarkEnd w:id="20"/>
    <w:p>
      <w:pPr>
        <w:pStyle w:val="BodyText"/>
      </w:pPr>
      <w:r>
        <w:rPr>
          <w:bCs/>
          <w:b/>
        </w:rPr>
        <w:t xml:space="preserve">Date of Report:</w:t>
      </w:r>
      <w:r>
        <w:t xml:space="preserve"> </w:t>
      </w:r>
      <w:r>
        <w:t xml:space="preserve">October 24, 2023</w:t>
      </w:r>
    </w:p>
    <w:p>
      <w:pPr>
        <w:pStyle w:val="BodyText"/>
      </w:pPr>
      <w:r>
        <w:rPr>
          <w:bCs/>
          <w:b/>
        </w:rPr>
        <w:t xml:space="preserve">Reference ID:</w:t>
      </w:r>
      <w:r>
        <w:t xml:space="preserve"> </w:t>
      </w:r>
      <w:r>
        <w:t xml:space="preserve">BER-ARC-2023-089</w:t>
      </w:r>
    </w:p>
    <w:p>
      <w:pPr>
        <w:pStyle w:val="BodyText"/>
      </w:pPr>
      <w:r>
        <w:rPr>
          <w:bCs/>
          <w:b/>
        </w:rPr>
        <w:t xml:space="preserve">Subject:</w:t>
      </w:r>
      <w:r>
        <w:t xml:space="preserve"> </w:t>
      </w:r>
      <w:r>
        <w:t xml:space="preserve">Professional Architect</w:t>
      </w:r>
    </w:p>
    <w:p>
      <w:pPr>
        <w:pStyle w:val="BodyText"/>
      </w:pPr>
      <w:r>
        <w:rPr>
          <w:bCs/>
          <w:b/>
        </w:rPr>
        <w:t xml:space="preserve">Location of Practice:</w:t>
      </w:r>
      <w:r>
        <w:t xml:space="preserve"> </w:t>
      </w:r>
      <w:r>
        <w:t xml:space="preserve">Berlin, Germany</w:t>
      </w:r>
    </w:p>
    <w:p>
      <w:pPr>
        <w:pStyle w:val="BodyText"/>
      </w:pPr>
      <w:r>
        <w:rPr>
          <w:bCs/>
          <w:b/>
        </w:rPr>
        <w:t xml:space="preserve">Reviewer:</w:t>
      </w:r>
      <w:r>
        <w:t xml:space="preserve"> </w:t>
      </w:r>
      <w:r>
        <w:t xml:space="preserve">Senior Review Board Member</w:t>
      </w:r>
    </w:p>
    <w:p>
      <w:pPr>
        <w:pStyle w:val="BodyText"/>
      </w:pPr>
      <w:r>
        <w:rPr>
          <w:bCs/>
          <w:b/>
        </w:rPr>
        <w:t xml:space="preserve">Scope:</w:t>
      </w:r>
      <w:r>
        <w:t xml:space="preserve"> </w:t>
      </w:r>
      <w:r>
        <w:t xml:space="preserve">Technical Proficiency, Regulatory Compliance, and Urban Integration</w:t>
      </w:r>
    </w:p>
    <w:bookmarkStart w:id="21" w:name="executive-summary"/>
    <w:p>
      <w:pPr>
        <w:pStyle w:val="Heading2"/>
      </w:pPr>
      <w:r>
        <w:t xml:space="preserve">1. Executive Summary</w:t>
      </w:r>
    </w:p>
    <w:p>
      <w:pPr>
        <w:pStyle w:val="FirstParagraph"/>
      </w:pPr>
      <w:r>
        <w:t xml:space="preserve">This Peer Review Report serves as a comprehensive evaluation of the professional standing, technical capabilities, and ethical adherence of the subject Architect operating within the jurisdiction of Berlin, Germany. The review was conducted to assess the alignment of the Architect’s portfolio and methodologies with the rigorous standards expected by the</w:t>
      </w:r>
      <w:r>
        <w:t xml:space="preserve"> </w:t>
      </w:r>
      <w:r>
        <w:rPr>
          <w:iCs/>
          <w:i/>
        </w:rPr>
        <w:t xml:space="preserve">Architektenkammer Berlin</w:t>
      </w:r>
      <w:r>
        <w:t xml:space="preserve"> </w:t>
      </w:r>
      <w:r>
        <w:t xml:space="preserve">(Berlin Chamber of Architects) and the broader European architectural community.</w:t>
      </w:r>
    </w:p>
    <w:p>
      <w:pPr>
        <w:pStyle w:val="BodyText"/>
      </w:pPr>
      <w:r>
        <w:t xml:space="preserve">Berlin, as a dynamic capital city undergoing rapid urban transformation, demands a high degree of adaptability, historical sensitivity, and technical innovation from its practitioners. This report analyzes how the Architect navigates these specific local challenges while maintaining international standards of design excellence. The findings indicate a strong proficiency in sustainable design and complex urban planning, with minor recommendations regarding documentation workflows.</w:t>
      </w:r>
    </w:p>
    <w:bookmarkEnd w:id="21"/>
    <w:bookmarkStart w:id="22" w:name="Xc32d3f3ebb3dc19446e70101942bbc3c0d73c88"/>
    <w:p>
      <w:pPr>
        <w:pStyle w:val="Heading2"/>
      </w:pPr>
      <w:r>
        <w:t xml:space="preserve">2. Contextual Analysis: The Berlin Environment</w:t>
      </w:r>
    </w:p>
    <w:p>
      <w:pPr>
        <w:pStyle w:val="FirstParagraph"/>
      </w:pPr>
      <w:r>
        <w:t xml:space="preserve">To accurately evaluate an Architect in Berlin, one must consider the unique regulatory and cultural landscape of the city. Berlin is characterized by a diverse architectural heritage, ranging from Prussian neoclassicism to the modernist experiments of the Bauhaus, and the contemporary interventions of the post-reunification era.</w:t>
      </w:r>
    </w:p>
    <w:p>
      <w:pPr>
        <w:pStyle w:val="BodyText"/>
      </w:pPr>
      <w:r>
        <w:t xml:space="preserve">The review specifically examined the Architect’s ability to integrate new developments into this sensitive context. The assessment focused on compliance with the</w:t>
      </w:r>
      <w:r>
        <w:t xml:space="preserve"> </w:t>
      </w:r>
      <w:r>
        <w:rPr>
          <w:iCs/>
          <w:i/>
        </w:rPr>
        <w:t xml:space="preserve">Baugesetzbuch</w:t>
      </w:r>
      <w:r>
        <w:t xml:space="preserve"> </w:t>
      </w:r>
      <w:r>
        <w:t xml:space="preserve">(Federal Building Code) and local Berlin building regulations (</w:t>
      </w:r>
      <w:r>
        <w:rPr>
          <w:iCs/>
          <w:i/>
        </w:rPr>
        <w:t xml:space="preserve">Bauordnung Berlin</w:t>
      </w:r>
      <w:r>
        <w:t xml:space="preserve">). The Architect demonstrated a robust understanding of the</w:t>
      </w:r>
      <w:r>
        <w:t xml:space="preserve"> </w:t>
      </w:r>
      <w:r>
        <w:rPr>
          <w:iCs/>
          <w:i/>
        </w:rPr>
        <w:t xml:space="preserve">Bebauungspläne</w:t>
      </w:r>
      <w:r>
        <w:t xml:space="preserve"> </w:t>
      </w:r>
      <w:r>
        <w:t xml:space="preserve">(development plans), ensuring that proposed structures respect zoning laws, height restrictions, and public space requirements inherent to Berlin’s urban fabric.</w:t>
      </w:r>
    </w:p>
    <w:bookmarkEnd w:id="22"/>
    <w:bookmarkStart w:id="25" w:name="technical-competence-and-design-quality"/>
    <w:p>
      <w:pPr>
        <w:pStyle w:val="Heading2"/>
      </w:pPr>
      <w:r>
        <w:t xml:space="preserve">3. Technical Competence and Design Quality</w:t>
      </w:r>
    </w:p>
    <w:p>
      <w:pPr>
        <w:pStyle w:val="FirstParagraph"/>
      </w:pPr>
      <w:r>
        <w:t xml:space="preserve">The core of this Peer Review Report focuses on the technical execution of the Architect’s recent projects. The evaluation criteria included structural integrity, material selection, and spatial efficiency.</w:t>
      </w:r>
    </w:p>
    <w:bookmarkStart w:id="23" w:name="structural-and-material-innovation"/>
    <w:p>
      <w:pPr>
        <w:pStyle w:val="Heading3"/>
      </w:pPr>
      <w:r>
        <w:t xml:space="preserve">3.1. Structural and Material Innovation</w:t>
      </w:r>
    </w:p>
    <w:p>
      <w:pPr>
        <w:pStyle w:val="FirstParagraph"/>
      </w:pPr>
      <w:r>
        <w:t xml:space="preserve">The Architect has shown a commendable commitment to using locally sourced materials, a practice highly encouraged in Germany to reduce carbon footprints. The use of cross-laminated timber (CLT) in recent residential projects in the Neukölln district was noted as a positive step toward sustainable construction. The technical detailing regarding fire safety and acoustic insulation met the strict requirements of the</w:t>
      </w:r>
      <w:r>
        <w:t xml:space="preserve"> </w:t>
      </w:r>
      <w:r>
        <w:rPr>
          <w:iCs/>
          <w:i/>
        </w:rPr>
        <w:t xml:space="preserve">Deutsche Institut für Normung</w:t>
      </w:r>
      <w:r>
        <w:t xml:space="preserve"> </w:t>
      </w:r>
      <w:r>
        <w:t xml:space="preserve">(DIN).</w:t>
      </w:r>
    </w:p>
    <w:bookmarkEnd w:id="23"/>
    <w:bookmarkStart w:id="24" w:name="urban-integration"/>
    <w:p>
      <w:pPr>
        <w:pStyle w:val="Heading3"/>
      </w:pPr>
      <w:r>
        <w:t xml:space="preserve">3.2. Urban Integration</w:t>
      </w:r>
    </w:p>
    <w:p>
      <w:pPr>
        <w:pStyle w:val="FirstParagraph"/>
      </w:pPr>
      <w:r>
        <w:t xml:space="preserve">In the context of Berlin’s dense urban environment, the Architect’s ability to create functional public interfaces was scrutinized. The reviewed projects successfully balanced private living spaces with communal areas, reflecting the social housing ethos prevalent in German urban planning. The design solutions effectively addressed the challenge of limited plot sizes while maximizing natural light and ventilation.</w:t>
      </w:r>
    </w:p>
    <w:bookmarkEnd w:id="24"/>
    <w:bookmarkEnd w:id="25"/>
    <w:bookmarkStart w:id="26" w:name="regulatory-compliance-and-sustainability"/>
    <w:p>
      <w:pPr>
        <w:pStyle w:val="Heading2"/>
      </w:pPr>
      <w:r>
        <w:t xml:space="preserve">4. Regulatory Compliance and Sustainability</w:t>
      </w:r>
    </w:p>
    <w:p>
      <w:pPr>
        <w:pStyle w:val="FirstParagraph"/>
      </w:pPr>
      <w:r>
        <w:t xml:space="preserve">Germany is a global leader in building energy efficiency, and Berlin enforces these standards strictly. This section of the report evaluates the Architect’s adherence to the</w:t>
      </w:r>
      <w:r>
        <w:t xml:space="preserve"> </w:t>
      </w:r>
      <w:r>
        <w:rPr>
          <w:iCs/>
          <w:i/>
        </w:rPr>
        <w:t xml:space="preserve">Energieeinsparverordnung</w:t>
      </w:r>
      <w:r>
        <w:t xml:space="preserve"> </w:t>
      </w:r>
      <w:r>
        <w:t xml:space="preserve">(EnEV) and the newer</w:t>
      </w:r>
      <w:r>
        <w:t xml:space="preserve"> </w:t>
      </w:r>
      <w:r>
        <w:rPr>
          <w:iCs/>
          <w:i/>
        </w:rPr>
        <w:t xml:space="preserve">Gebäudeenergiegesetz</w:t>
      </w:r>
      <w:r>
        <w:t xml:space="preserve"> </w:t>
      </w:r>
      <w:r>
        <w:t xml:space="preserve">(GEG).</w:t>
      </w:r>
    </w:p>
    <w:p>
      <w:pPr>
        <w:pStyle w:val="BodyText"/>
      </w:pPr>
      <w:r>
        <w:t xml:space="preserve">The Architect’s portfolio demonstrates a proactive approach to energy modeling. Projects reviewed consistently achieved energy classes superior to the legal minimums. The integration of renewable energy systems, such as photovoltaic facades and geothermal heating, was handled with technical precision. Furthermore, the Architect’s documentation regarding energy certificates (</w:t>
      </w:r>
      <w:r>
        <w:rPr>
          <w:iCs/>
          <w:i/>
        </w:rPr>
        <w:t xml:space="preserve">Energieausweis</w:t>
      </w:r>
      <w:r>
        <w:t xml:space="preserve">) was found to be accurate and compliant with German legal requirements.</w:t>
      </w:r>
    </w:p>
    <w:bookmarkEnd w:id="26"/>
    <w:bookmarkStart w:id="27" w:name="professional-ethics-and-collaboration"/>
    <w:p>
      <w:pPr>
        <w:pStyle w:val="Heading2"/>
      </w:pPr>
      <w:r>
        <w:t xml:space="preserve">5. Professional Ethics and Collaboration</w:t>
      </w:r>
    </w:p>
    <w:p>
      <w:pPr>
        <w:pStyle w:val="FirstParagraph"/>
      </w:pPr>
      <w:r>
        <w:t xml:space="preserve">A critical component of any Peer Review Report is the assessment of professional conduct. In Germany, the collaboration between the Architect, engineers, and contractors is governed by the</w:t>
      </w:r>
      <w:r>
        <w:t xml:space="preserve"> </w:t>
      </w:r>
      <w:r>
        <w:rPr>
          <w:iCs/>
          <w:i/>
        </w:rPr>
        <w:t xml:space="preserve">Honorarordnung für Architekten und Ingenieure</w:t>
      </w:r>
      <w:r>
        <w:t xml:space="preserve"> </w:t>
      </w:r>
      <w:r>
        <w:t xml:space="preserve">(HOAI).</w:t>
      </w:r>
    </w:p>
    <w:p>
      <w:pPr>
        <w:pStyle w:val="BodyText"/>
      </w:pPr>
      <w:r>
        <w:t xml:space="preserve">Feedback from project stakeholders indicates that the Architect adheres strictly to the HOAI fee structures and service phases. There were no reports of ethical breaches or conflicts of interest. The Architect’s communication style was described as transparent and collaborative, facilitating smooth coordination with local authorities (</w:t>
      </w:r>
      <w:r>
        <w:rPr>
          <w:iCs/>
          <w:i/>
        </w:rPr>
        <w:t xml:space="preserve">Bauamt</w:t>
      </w:r>
      <w:r>
        <w:t xml:space="preserve">) and construction teams. This professionalism is vital in Berlin, where bureaucratic processes can be complex and time-consuming.</w:t>
      </w:r>
    </w:p>
    <w:bookmarkEnd w:id="27"/>
    <w:bookmarkStart w:id="28" w:name="Xeed892823e6bcfd01986a29df04431ac6287ad6"/>
    <w:p>
      <w:pPr>
        <w:pStyle w:val="Heading2"/>
      </w:pPr>
      <w:r>
        <w:t xml:space="preserve">6. Recommendations and Areas for Improvement</w:t>
      </w:r>
    </w:p>
    <w:p>
      <w:pPr>
        <w:pStyle w:val="FirstParagraph"/>
      </w:pPr>
      <w:r>
        <w:t xml:space="preserve">While the overall assessment is highly positive, this Peer Review Report identifies areas for further development to ensure the Architect remains at the forefront of the Berlin market:</w:t>
      </w:r>
    </w:p>
    <w:p>
      <w:pPr>
        <w:numPr>
          <w:ilvl w:val="0"/>
          <w:numId w:val="1001"/>
        </w:numPr>
        <w:pStyle w:val="Compact"/>
      </w:pPr>
      <w:r>
        <w:rPr>
          <w:bCs/>
          <w:b/>
        </w:rPr>
        <w:t xml:space="preserve">Digitalization:</w:t>
      </w:r>
      <w:r>
        <w:t xml:space="preserve"> </w:t>
      </w:r>
      <w:r>
        <w:t xml:space="preserve">While BIM (Building Information Modeling) is used, the integration level could be deepened to Level 3 to better align with future German government mandates for digital construction management.</w:t>
      </w:r>
    </w:p>
    <w:p>
      <w:pPr>
        <w:numPr>
          <w:ilvl w:val="0"/>
          <w:numId w:val="1001"/>
        </w:numPr>
        <w:pStyle w:val="Compact"/>
      </w:pPr>
      <w:r>
        <w:rPr>
          <w:bCs/>
          <w:b/>
        </w:rPr>
        <w:t xml:space="preserve">Heritage Conservation:</w:t>
      </w:r>
      <w:r>
        <w:t xml:space="preserve"> </w:t>
      </w:r>
      <w:r>
        <w:t xml:space="preserve">Given Berlin’s rich history, further specialization in</w:t>
      </w:r>
      <w:r>
        <w:t xml:space="preserve"> </w:t>
      </w:r>
      <w:r>
        <w:rPr>
          <w:iCs/>
          <w:i/>
        </w:rPr>
        <w:t xml:space="preserve">Denkmalschutz</w:t>
      </w:r>
      <w:r>
        <w:t xml:space="preserve"> </w:t>
      </w:r>
      <w:r>
        <w:t xml:space="preserve">(monument protection) would enhance the Architect’s ability to work on renovation projects in historic districts like Mitte or Kreuzberg.</w:t>
      </w:r>
    </w:p>
    <w:p>
      <w:pPr>
        <w:numPr>
          <w:ilvl w:val="0"/>
          <w:numId w:val="1001"/>
        </w:numPr>
        <w:pStyle w:val="Compact"/>
      </w:pPr>
      <w:r>
        <w:rPr>
          <w:bCs/>
          <w:b/>
        </w:rPr>
        <w:t xml:space="preserve">Documentation Standardization:</w:t>
      </w:r>
      <w:r>
        <w:t xml:space="preserve"> </w:t>
      </w:r>
      <w:r>
        <w:t xml:space="preserve">Minor inconsistencies were noted in the formatting of technical drawings across different projects. Standardizing these according to DIN ISO standards would improve clarity for contractors.</w:t>
      </w:r>
    </w:p>
    <w:bookmarkEnd w:id="28"/>
    <w:bookmarkStart w:id="29" w:name="conclusion"/>
    <w:p>
      <w:pPr>
        <w:pStyle w:val="Heading2"/>
      </w:pPr>
      <w:r>
        <w:t xml:space="preserve">7. Conclusion</w:t>
      </w:r>
    </w:p>
    <w:p>
      <w:pPr>
        <w:pStyle w:val="FirstParagraph"/>
      </w:pPr>
      <w:r>
        <w:t xml:space="preserve">In conclusion, this Peer Review Report confirms that the subject Architect possesses the requisite skills, knowledge, and ethical grounding to practice at a high level in Berlin, Germany. The Architect demonstrates a nuanced understanding of the local regulatory framework, a commitment to sustainability, and a design philosophy that respects the unique character of the city.</w:t>
      </w:r>
    </w:p>
    <w:p>
      <w:pPr>
        <w:pStyle w:val="BodyText"/>
      </w:pPr>
      <w:r>
        <w:t xml:space="preserve">The recommendations provided are intended to support continuous professional development. Based on the evidence reviewed, the Architect is deemed fully competent to undertake complex architectural projects within the Berlin jurisdiction.</w:t>
      </w:r>
    </w:p>
    <w:p>
      <w:pPr>
        <w:pStyle w:val="BodyText"/>
      </w:pPr>
      <w:r>
        <w:rPr>
          <w:bCs/>
          <w:b/>
        </w:rPr>
        <w:t xml:space="preserve">Reviewed By:</w:t>
      </w:r>
      <w:r>
        <w:br/>
      </w:r>
      <w:r>
        <w:t xml:space="preserve">Dr. Hans Mueller</w:t>
      </w:r>
      <w:r>
        <w:br/>
      </w:r>
      <w:r>
        <w:t xml:space="preserve">Senior Architectural Reviewer</w:t>
      </w:r>
      <w:r>
        <w:br/>
      </w:r>
      <w:r>
        <w:t xml:space="preserve">Berlin Chamber of Architects</w:t>
      </w:r>
    </w:p>
    <w:p>
      <w:pPr>
        <w:pStyle w:val="BodyText"/>
      </w:pPr>
      <w:r>
        <w:rPr>
          <w:bCs/>
          <w:b/>
        </w:rPr>
        <w:t xml:space="preserve">Date of Signature:</w:t>
      </w:r>
      <w:r>
        <w:br/>
      </w:r>
      <w:r>
        <w:t xml:space="preserve">October 24, 2023</w:t>
      </w:r>
      <w:r>
        <w:br/>
      </w:r>
      <w:r>
        <w:br/>
      </w:r>
      <w:r>
        <w:rPr>
          <w:iCs/>
          <w:i/>
        </w:rPr>
        <w:t xml:space="preserve">[Digital Signature Verified]</w:t>
      </w:r>
    </w:p>
    <w:p>
      <w:pPr>
        <w:pStyle w:val="BodyText"/>
      </w:pPr>
      <w:r>
        <w:t xml:space="preserve">This document is a formal Peer Review Report generated for professional assessment purposes. It is valid only for the jurisdiction of Berlin, Germany, and pertains specifically to the Architect identified in the metadata.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Berlin, Germany</dc:title>
  <dc:creator/>
  <dc:language>en</dc:language>
  <cp:keywords/>
  <dcterms:created xsi:type="dcterms:W3CDTF">2026-10-10T06:26:05Z</dcterms:created>
  <dcterms:modified xsi:type="dcterms:W3CDTF">2026-10-10T06:26:05Z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