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8" w:name="X6230639f022832fef0f0e671aaa35c2ba94a278"/>
    <w:p>
      <w:pPr>
        <w:pStyle w:val="Heading1"/>
      </w:pPr>
      <w:r>
        <w:t xml:space="preserve">Peer Review Report: Architectural Practice</w:t>
      </w:r>
    </w:p>
    <w:p>
      <w:pPr>
        <w:pStyle w:val="FirstParagraph"/>
      </w:pPr>
      <w:r>
        <w:t xml:space="preserve">Subject of Review</w:t>
      </w:r>
    </w:p>
    <w:p>
      <w:pPr>
        <w:pStyle w:val="BodyText"/>
      </w:pPr>
      <w:r>
        <w:t xml:space="preserve">Architect [Name Redacted]</w:t>
      </w:r>
    </w:p>
    <w:p>
      <w:pPr>
        <w:pStyle w:val="BodyText"/>
      </w:pPr>
      <w:r>
        <w:t xml:space="preserve">Location of Practice</w:t>
      </w:r>
    </w:p>
    <w:p>
      <w:pPr>
        <w:pStyle w:val="BodyText"/>
      </w:pPr>
      <w:r>
        <w:t xml:space="preserve">Almaty, Kazakhstan</w:t>
      </w:r>
    </w:p>
    <w:p>
      <w:pPr>
        <w:pStyle w:val="BodyText"/>
      </w:pPr>
      <w:r>
        <w:t xml:space="preserve">Date of Report</w:t>
      </w:r>
    </w:p>
    <w:p>
      <w:pPr>
        <w:pStyle w:val="BodyText"/>
      </w:pPr>
      <w:r>
        <w:t xml:space="preserve">October 24, 2023</w:t>
      </w:r>
    </w:p>
    <w:p>
      <w:pPr>
        <w:pStyle w:val="BodyText"/>
      </w:pPr>
      <w:r>
        <w:t xml:space="preserve">Review Type</w:t>
      </w:r>
    </w:p>
    <w:p>
      <w:pPr>
        <w:pStyle w:val="BodyText"/>
      </w:pPr>
      <w:r>
        <w:t xml:space="preserve">Professional Competence &amp; Compliance</w:t>
      </w:r>
    </w:p>
    <w:p>
      <w:pPr>
        <w:pStyle w:val="BodyText"/>
      </w:pPr>
      <w:r>
        <w:rPr>
          <w:bCs/>
          <w:b/>
        </w:rPr>
        <w:t xml:space="preserve">Executive Summary:</w:t>
      </w:r>
    </w:p>
    <w:p>
      <w:pPr>
        <w:pStyle w:val="BodyText"/>
      </w:pPr>
      <w:r>
        <w:t xml:space="preserve">This Peer Review Report has been commissioned to evaluate the professional practice, technical proficiency, and regulatory compliance of the Architect under review. The scope of this assessment focuses specifically on the Architect's operations within the dynamic urban environment of Almaty, Kazakhstan. As the economic and cultural hub of the nation, Almaty presents unique challenges regarding seismic safety, rapid urbanization, and the integration of modern design with local heritage. This report analyzes the Architect's ability to navigate these complexities while adhering to the national building codes (SNiP) and international best practices.</w:t>
      </w:r>
    </w:p>
    <w:bookmarkStart w:id="20" w:name="Xf113dc62b834c6ce90a8a5397f96cd1fbff636f"/>
    <w:p>
      <w:pPr>
        <w:pStyle w:val="Heading2"/>
      </w:pPr>
      <w:r>
        <w:t xml:space="preserve">1. Contextual Analysis: The Almaty Environment</w:t>
      </w:r>
    </w:p>
    <w:p>
      <w:pPr>
        <w:pStyle w:val="FirstParagraph"/>
      </w:pPr>
      <w:r>
        <w:t xml:space="preserve">The practice of architecture in Almaty is distinct due to the city's geographical and climatic conditions. The review board notes that the Architect demonstrates a robust understanding of the local context. Almaty is situated in a seismically active zone, requiring rigorous structural considerations. Furthermore, the city experiences significant temperature fluctuations between seasons.</w:t>
      </w:r>
    </w:p>
    <w:p>
      <w:pPr>
        <w:pStyle w:val="BodyText"/>
      </w:pPr>
      <w:r>
        <w:t xml:space="preserve">The Architect’s portfolio reviewed for this report indicates a consistent application of thermal envelope strategies suitable for the Central Asian climate. The designs prioritize energy efficiency, a growing concern in Kazakhstan as the nation moves toward modernizing its infrastructure. The Architect’s ability to balance aesthetic ambition with the pragmatic necessities of Almaty’s topography—often characterized by steep gradients and limited flat land—is a key strength identified during this peer review.</w:t>
      </w:r>
    </w:p>
    <w:bookmarkEnd w:id="20"/>
    <w:bookmarkStart w:id="23" w:name="technical-competence-and-design-quality"/>
    <w:p>
      <w:pPr>
        <w:pStyle w:val="Heading2"/>
      </w:pPr>
      <w:r>
        <w:t xml:space="preserve">2. Technical Competence and Design Quality</w:t>
      </w:r>
    </w:p>
    <w:p>
      <w:pPr>
        <w:pStyle w:val="FirstParagraph"/>
      </w:pPr>
      <w:r>
        <w:t xml:space="preserve">The core of this Peer Review Report assesses the technical deliverables produced by the Architect. The review committee examined three major projects completed within the last five years in the Almaty region.</w:t>
      </w:r>
    </w:p>
    <w:bookmarkStart w:id="21" w:name="X697e2835b34cb2689fd297fea112b9bdee35fbc"/>
    <w:p>
      <w:pPr>
        <w:pStyle w:val="Heading3"/>
      </w:pPr>
      <w:r>
        <w:t xml:space="preserve">2.1 Structural Integrity and Seismic Compliance</w:t>
      </w:r>
    </w:p>
    <w:p>
      <w:pPr>
        <w:pStyle w:val="FirstParagraph"/>
      </w:pPr>
      <w:r>
        <w:t xml:space="preserve">Given the seismic risk in Kazakhstan, the Architect’s collaboration with structural engineers is paramount. The review confirms that the Architect consistently integrates seismic isolation and damping systems into the design phase, rather than treating them as afterthoughts. The documentation shows strict adherence to the updated seismic building codes of the Republic of Kazakhstan. The Architect’s detailing regarding load-bearing walls and foundation systems in the Almaty soil conditions was found to be exemplary.</w:t>
      </w:r>
    </w:p>
    <w:bookmarkEnd w:id="21"/>
    <w:bookmarkStart w:id="22" w:name="material-selection-and-sustainability"/>
    <w:p>
      <w:pPr>
        <w:pStyle w:val="Heading3"/>
      </w:pPr>
      <w:r>
        <w:t xml:space="preserve">2.2 Material Selection and Sustainability</w:t>
      </w:r>
    </w:p>
    <w:p>
      <w:pPr>
        <w:pStyle w:val="FirstParagraph"/>
      </w:pPr>
      <w:r>
        <w:t xml:space="preserve">The Architect demonstrates a sophisticated approach to material selection. There is a commendable trend in the reviewed projects toward using locally sourced materials, which reduces the carbon footprint associated with logistics. The use of high-performance glazing and insulation materials is evident, addressing the specific heating and cooling loads required in Almaty. The Peer Review Report highlights the Architect’s commitment to sustainability, aligning with the broader "Green Building" initiatives gaining traction in Kazakhstan’s capital.</w:t>
      </w:r>
    </w:p>
    <w:bookmarkEnd w:id="22"/>
    <w:bookmarkEnd w:id="23"/>
    <w:bookmarkStart w:id="24" w:name="regulatory-compliance-and-documentation"/>
    <w:p>
      <w:pPr>
        <w:pStyle w:val="Heading2"/>
      </w:pPr>
      <w:r>
        <w:t xml:space="preserve">3. Regulatory Compliance and Documentation</w:t>
      </w:r>
    </w:p>
    <w:p>
      <w:pPr>
        <w:pStyle w:val="FirstParagraph"/>
      </w:pPr>
      <w:r>
        <w:t xml:space="preserve">A critical aspect of architectural practice in Kazakhstan is the navigation of the regulatory framework. The Architect must comply with the State Construction Norms and Rules (SNiP) as well as local Almaty city planning regulations.</w:t>
      </w:r>
    </w:p>
    <w:p>
      <w:pPr>
        <w:pStyle w:val="BodyText"/>
      </w:pPr>
      <w:r>
        <w:t xml:space="preserve">The review of project documentation reveals a high level of professionalism. The Architect’s submission packages for the State Expertise are comprehensive, reducing the likelihood of delays in the approval process. The drawings are clear, dimensioned accurately, and fully coordinated with MEP (Mechanical, Electrical, and Plumbing) systems. The Architect’s familiarity with the specific zoning laws of Almaty, particularly regarding height restrictions and green space requirements, ensures that projects are viable and legally sound.</w:t>
      </w:r>
    </w:p>
    <w:bookmarkEnd w:id="24"/>
    <w:bookmarkStart w:id="25" w:name="professional-ethics-and-client-relations"/>
    <w:p>
      <w:pPr>
        <w:pStyle w:val="Heading2"/>
      </w:pPr>
      <w:r>
        <w:t xml:space="preserve">4. Professional Ethics and Client Relations</w:t>
      </w:r>
    </w:p>
    <w:p>
      <w:pPr>
        <w:pStyle w:val="FirstParagraph"/>
      </w:pPr>
      <w:r>
        <w:t xml:space="preserve">The Peer Review Report also evaluates the Architect’s professional conduct. Feedback from clients and contractors in Almaty suggests that the Architect maintains transparent communication channels. The Architect is noted for managing project budgets effectively, a crucial factor in the fluctuating economic landscape of the region. There were no reports of ethical breaches, conflicts of interest, or negligence. The Architect’s ability to mediate between client desires and technical constraints is viewed as a significant professional asset.</w:t>
      </w:r>
    </w:p>
    <w:bookmarkEnd w:id="25"/>
    <w:bookmarkStart w:id="26" w:name="areas-for-improvement"/>
    <w:p>
      <w:pPr>
        <w:pStyle w:val="Heading2"/>
      </w:pPr>
      <w:r>
        <w:t xml:space="preserve">5. Areas for Improvement</w:t>
      </w:r>
    </w:p>
    <w:p>
      <w:pPr>
        <w:pStyle w:val="FirstParagraph"/>
      </w:pPr>
      <w:r>
        <w:t xml:space="preserve">While the overall assessment is positive, the review identifies areas for growth. As Almaty continues to modernize, there is an increasing demand for smart building technologies and BIM (Building Information Modeling) integration. While the Architect utilizes CAD effectively, the transition to full BIM workflows could enhance coordination on complex projects. Additionally, further exploration of passive design strategies could further reduce the energy consumption of buildings in the Almaty climate.</w:t>
      </w:r>
    </w:p>
    <w:bookmarkEnd w:id="26"/>
    <w:bookmarkStart w:id="27" w:name="conclusion-and-recommendation"/>
    <w:p>
      <w:pPr>
        <w:pStyle w:val="Heading2"/>
      </w:pPr>
      <w:r>
        <w:t xml:space="preserve">6. Conclusion and Recommendation</w:t>
      </w:r>
    </w:p>
    <w:p>
      <w:pPr>
        <w:pStyle w:val="FirstParagraph"/>
      </w:pPr>
      <w:r>
        <w:t xml:space="preserve">In conclusion, this Peer Review Report affirms that the Architect possesses the requisite skills, knowledge, and ethical standards to practice at a high level in Almaty, Kazakhstan. The Architect’s work reflects a deep respect for the local environment, a rigorous adherence to safety codes, and a commitment to quality design. The practice is deemed fully competent to undertake complex residential and commercial projects within the jurisdiction.</w:t>
      </w:r>
    </w:p>
    <w:p>
      <w:pPr>
        <w:pStyle w:val="BodyText"/>
      </w:pPr>
      <w:r>
        <w:t xml:space="preserve">The review board recommends the continuation of the Architect’s professional license and encourages further engagement with sustainable design certifications to align with the evolving standards of the Kazakhstani construction industry.</w:t>
      </w:r>
    </w:p>
    <w:p>
      <w:pPr>
        <w:pStyle w:val="BodyText"/>
      </w:pPr>
      <w:r>
        <w:t xml:space="preserve">Lead Reviewer Name</w:t>
      </w:r>
    </w:p>
    <w:p>
      <w:pPr>
        <w:pStyle w:val="BodyText"/>
      </w:pPr>
      <w:r>
        <w:t xml:space="preserve">Senior Architect, Review Board</w:t>
      </w:r>
    </w:p>
    <w:p>
      <w:pPr>
        <w:pStyle w:val="BodyText"/>
      </w:pPr>
      <w:r>
        <w:t xml:space="preserve">Date of Signature</w:t>
      </w:r>
    </w:p>
    <w:p>
      <w:pPr>
        <w:pStyle w:val="BodyText"/>
      </w:pP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Almaty, Kazakhstan</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