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Delivery Assessment</w:t>
      </w:r>
    </w:p>
    <w:p>
      <w:pPr>
        <w:pStyle w:val="BodyText"/>
      </w:pPr>
      <w:r>
        <w:rPr>
          <w:bCs/>
          <w:b/>
        </w:rPr>
        <w:t xml:space="preserve">Role Under Review:</w:t>
      </w:r>
      <w:r>
        <w:t xml:space="preserve"> </w:t>
      </w:r>
      <w:r>
        <w:t xml:space="preserve">Architect</w:t>
      </w:r>
    </w:p>
    <w:p>
      <w:pPr>
        <w:pStyle w:val="BodyText"/>
      </w:pPr>
      <w:r>
        <w:rPr>
          <w:bCs/>
          <w:b/>
        </w:rPr>
        <w:t xml:space="preserve">Location of Practice:</w:t>
      </w:r>
      <w:r>
        <w:t xml:space="preserve"> </w:t>
      </w:r>
      <w:r>
        <w:t xml:space="preserve">Kenya Nairobi</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ethical compliance of a practicing Architect within the dynamic urban environment of Kenya Nairobi. The review focuses on the architect's ability to navigate the specific regulatory frameworks, climatic conditions, and socio-economic demands unique to Nairobi. The assessment confirms that the Architect demonstrates a high level of competence in delivering sustainable, culturally responsive, and structurally sound designs that align with the National Construction Authority (NCA) standards and the guidelines set forth by the Architects Registration Council of Kenya (ARCK).</w:t>
      </w:r>
    </w:p>
    <w:bookmarkEnd w:id="21"/>
    <w:bookmarkStart w:id="22" w:name="regulatory-compliance-and-local-context"/>
    <w:p>
      <w:pPr>
        <w:pStyle w:val="Heading2"/>
      </w:pPr>
      <w:r>
        <w:t xml:space="preserve">2. Regulatory Compliance and Local Context</w:t>
      </w:r>
    </w:p>
    <w:p>
      <w:pPr>
        <w:pStyle w:val="FirstParagraph"/>
      </w:pPr>
      <w:r>
        <w:t xml:space="preserve">A critical aspect of this Peer Review Report is the evaluation of the Architect's adherence to local laws. Practicing as an Architect in Kenya Nairobi requires strict compliance with the Physical and Land Use Planning Act and the Building Regulations. The review found that the Architect consistently integrates these legal requirements into the early stages of design. Specifically, the handling of Nairobi City County's zoning bylaws, particularly regarding floor area ratios (FAR) and setbacks in high-density areas like Westlands and Kilimani, was exemplary.</w:t>
      </w:r>
    </w:p>
    <w:p>
      <w:pPr>
        <w:pStyle w:val="BodyText"/>
      </w:pPr>
      <w:r>
        <w:t xml:space="preserve">Furthermore, the Architect demonstrates a thorough understanding of the environmental impact assessments required for projects in Nairobi. The review highlights successful navigation of the National Environment Management Authority (NEMA) licensing processes, ensuring that all proposed developments mitigate potential environmental degradation, a pressing concern in the rapidly urbanizing Nairobi landscape.</w:t>
      </w:r>
    </w:p>
    <w:bookmarkEnd w:id="22"/>
    <w:bookmarkStart w:id="23" w:name="technical-proficiency-and-design-quality"/>
    <w:p>
      <w:pPr>
        <w:pStyle w:val="Heading2"/>
      </w:pPr>
      <w:r>
        <w:t xml:space="preserve">3. Technical Proficiency and Design Quality</w:t>
      </w:r>
    </w:p>
    <w:p>
      <w:pPr>
        <w:pStyle w:val="FirstParagraph"/>
      </w:pPr>
      <w:r>
        <w:t xml:space="preserve">The technical capabilities of the Architect were scrutinized through a portfolio of recent projects located in Kenya Nairobi. The review assesses the integration of modern architectural technologies with local building practices. The Architect exhibits strong proficiency in Building Information Modeling (BIM), which has significantly reduced coordination errors in complex multi-story developments.</w:t>
      </w:r>
    </w:p>
    <w:p>
      <w:pPr>
        <w:pStyle w:val="BodyText"/>
      </w:pPr>
      <w:r>
        <w:t xml:space="preserve">In terms of design quality, the Architect successfully addresses the specific climatic challenges of Nairobi. The designs reviewed incorporate passive cooling strategies, appropriate shading devices, and natural ventilation techniques that reduce reliance on mechanical air conditioning. This is particularly relevant given Nairobi's variable weather patterns and the growing emphasis on energy efficiency in Kenyan construction. The use of locally sourced materials, such as stone and timber, not only supports the local economy but also ensures that the architectural aesthetic resonates with the cultural identity of Kenya Nairobi.</w:t>
      </w:r>
    </w:p>
    <w:bookmarkEnd w:id="23"/>
    <w:bookmarkStart w:id="24" w:name="Xc3131b44cc6e0c52c0f0ebe61437dcc9cc59f37"/>
    <w:p>
      <w:pPr>
        <w:pStyle w:val="Heading2"/>
      </w:pPr>
      <w:r>
        <w:t xml:space="preserve">4. Sustainability and Environmental Responsibility</w:t>
      </w:r>
    </w:p>
    <w:p>
      <w:pPr>
        <w:pStyle w:val="FirstParagraph"/>
      </w:pPr>
      <w:r>
        <w:t xml:space="preserve">Sustainability is a cornerstone of modern architectural practice, and this Peer Review Report places significant weight on this criterion. The Architect under review has shown a commendable commitment to green building principles. Several projects have achieved or targeted Green Building Council of Kenya (GBCK) certification. The review notes the effective implementation of rainwater harvesting systems, solar energy integration, and waste management strategies in residential and commercial projects across Nairobi.</w:t>
      </w:r>
    </w:p>
    <w:p>
      <w:pPr>
        <w:pStyle w:val="BodyText"/>
      </w:pPr>
      <w:r>
        <w:t xml:space="preserve">The Architect's approach to sustainability extends beyond individual buildings to urban planning considerations. In mixed-use developments, the designs promote walkability and public transport accessibility, addressing the notorious traffic congestion issues in Kenya Nairobi. This holistic approach demonstrates a deep understanding of the urban fabric and a commitment to creating livable, sustainable communities.</w:t>
      </w:r>
    </w:p>
    <w:bookmarkEnd w:id="24"/>
    <w:bookmarkStart w:id="25" w:name="project-management-and-client-relations"/>
    <w:p>
      <w:pPr>
        <w:pStyle w:val="Heading2"/>
      </w:pPr>
      <w:r>
        <w:t xml:space="preserve">5. Project Management and Client Relations</w:t>
      </w:r>
    </w:p>
    <w:p>
      <w:pPr>
        <w:pStyle w:val="FirstParagraph"/>
      </w:pPr>
      <w:r>
        <w:t xml:space="preserve">The review also evaluated the Architect's project management skills and ability to maintain professional relationships with clients, contractors, and consultants. In the fast-paced construction environment of Kenya Nairobi, effective communication and timely delivery are paramount. The Architect has consistently met project deadlines and budgets, demonstrating strong organizational skills and risk management capabilities.</w:t>
      </w:r>
    </w:p>
    <w:p>
      <w:pPr>
        <w:pStyle w:val="BodyText"/>
      </w:pPr>
      <w:r>
        <w:t xml:space="preserve">Client feedback indicates a high level of satisfaction with the Architect's transparency and responsiveness. The ability to translate complex technical requirements into understandable terms for clients has been particularly noted. Additionally, the Architect maintains professional integrity in dealings with contractors, ensuring that construction quality aligns with the design intent and regulatory standards.</w:t>
      </w:r>
    </w:p>
    <w:bookmarkEnd w:id="25"/>
    <w:bookmarkStart w:id="26" w:name="X4ce211acb8b02978b825403f312638d11fa1afd"/>
    <w:p>
      <w:pPr>
        <w:pStyle w:val="Heading2"/>
      </w:pPr>
      <w:r>
        <w:t xml:space="preserve">6. Ethical Standards and Professional Conduct</w:t>
      </w:r>
    </w:p>
    <w:p>
      <w:pPr>
        <w:pStyle w:val="FirstParagraph"/>
      </w:pPr>
      <w:r>
        <w:t xml:space="preserve">Adherence to the code of ethics prescribed by the Architects Registration Council of Kenya (ARCK) is non-negotiable. This Peer Review Report confirms that the Architect upholds the highest ethical standards. There were no instances of conflict of interest, plagiarism, or unprofessional conduct identified during the review period. The Architect actively contributes to the profession through mentorship of junior architects and participation in industry forums in Kenya Nairobi, fostering a culture of continuous learning and professional excellence.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Architect is fully competent to practice in Kenya Nairobi. The combination of technical expertise, regulatory knowledge, sustainable design practices, and ethical conduct positions the Architect as a valuable asset to the built environment of Nairobi. The review recommends continued professional development, particularly in emerging areas such as smart city technologies and resilient urban design, to further enhance the Architect's contribution to the evolving landscape of Kenya Nairobi.</w:t>
      </w:r>
    </w:p>
    <w:bookmarkEnd w:id="27"/>
    <w:p>
      <w:pPr>
        <w:pStyle w:val="BodyText"/>
      </w:pPr>
      <w:r>
        <w:rPr>
          <w:bCs/>
          <w:b/>
        </w:rPr>
        <w:t xml:space="preserve">Reviewed By:</w:t>
      </w:r>
    </w:p>
    <w:p>
      <w:pPr>
        <w:pStyle w:val="BodyText"/>
      </w:pPr>
      <w:r>
        <w:t xml:space="preserve">Senior Peer Reviewer</w:t>
      </w:r>
    </w:p>
    <w:p>
      <w:pPr>
        <w:pStyle w:val="BodyText"/>
      </w:pPr>
      <w:r>
        <w:t xml:space="preserve">Architects Registration Council of Kenya (ARCK)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Kenya Nairobi</dc:title>
  <dc:creator/>
  <dc:language>en</dc:language>
  <cp:keywords/>
  <dcterms:created xsi:type="dcterms:W3CDTF">2026-10-10T07:26:21Z</dcterms:created>
  <dcterms:modified xsi:type="dcterms:W3CDTF">2026-10-10T07:26:21Z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