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Kuala</w:t>
      </w:r>
      <w:r>
        <w:t xml:space="preserve"> </w:t>
      </w:r>
      <w:r>
        <w:t xml:space="preserve">Lumpur</w:t>
      </w:r>
    </w:p>
    <w:bookmarkStart w:id="26" w:name="X6800f59405d664ac9fd0c54247a778bc580f36f"/>
    <w:p>
      <w:pPr>
        <w:pStyle w:val="Heading1"/>
      </w:pPr>
      <w:r>
        <w:t xml:space="preserve">Peer Review Report: Architectural Practice and Professional Competency</w:t>
      </w:r>
    </w:p>
    <w:p>
      <w:pPr>
        <w:pStyle w:val="FirstParagraph"/>
      </w:pPr>
      <w:r>
        <w:rPr>
          <w:bCs/>
          <w:b/>
        </w:rPr>
        <w:t xml:space="preserve">Subject:</w:t>
      </w:r>
      <w:r>
        <w:t xml:space="preserve"> </w:t>
      </w:r>
      <w:r>
        <w:t xml:space="preserve">Evaluation of Architectural Design and Professional Practice</w:t>
      </w:r>
    </w:p>
    <w:p>
      <w:pPr>
        <w:pStyle w:val="BodyText"/>
      </w:pPr>
      <w:r>
        <w:rPr>
          <w:bCs/>
          <w:b/>
        </w:rPr>
        <w:t xml:space="preserve">Location Context:</w:t>
      </w:r>
      <w:r>
        <w:t xml:space="preserve"> </w:t>
      </w:r>
      <w:r>
        <w:t xml:space="preserve">Kuala Lumpur, Malaysia</w:t>
      </w:r>
    </w:p>
    <w:p>
      <w:pPr>
        <w:pStyle w:val="BodyText"/>
      </w:pPr>
      <w:r>
        <w:rPr>
          <w:bCs/>
          <w:b/>
        </w:rPr>
        <w:t xml:space="preserve">Regulatory Framework:</w:t>
      </w:r>
      <w:r>
        <w:t xml:space="preserve"> </w:t>
      </w:r>
      <w:r>
        <w:t xml:space="preserve">Architects Act 1967 (Act 167) &amp; By-Laws of the Architects Registration Board of Malaysia (ARB)</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bookmarkStart w:id="20" w:name="introduction-and-scope-of-review"/>
    <w:p>
      <w:pPr>
        <w:pStyle w:val="Heading2"/>
      </w:pPr>
      <w:r>
        <w:t xml:space="preserve">1. Introduction and Scope of Review</w:t>
      </w:r>
    </w:p>
    <w:p>
      <w:pPr>
        <w:pStyle w:val="FirstParagraph"/>
      </w:pPr>
      <w:r>
        <w:t xml:space="preserve">This Peer Review Report serves as a formal assessment of the architectural practice, design methodology, and professional conduct of the subject Architect operating within the jurisdiction of Kuala Lumpur, Malaysia. The primary objective of this review is to evaluate the alignment of the Architect’s work with the stringent standards set forth by the Architects Registration Board of Malaysia (ARB) and the Board of Architects Malaysia (LAM). Given the rapid urbanization and complex regulatory environment of Kuala Lumpur, this report scrutinizes the Architect’s ability to navigate local planning laws, adhere to the Uniform Building By-Laws (UBBL), and deliver sustainable, culturally responsive design solutions.</w:t>
      </w:r>
    </w:p>
    <w:p>
      <w:pPr>
        <w:pStyle w:val="BodyText"/>
      </w:pPr>
      <w:r>
        <w:t xml:space="preserve">The scope of this review encompasses a detailed analysis of recent project portfolios, site supervision protocols, documentation quality, and ethical compliance. It specifically addresses the unique challenges posed by the Kuala Lumpur landscape, including high-density development constraints, tropical climate considerations, and the integration of heritage conservation within modern urban frameworks.</w:t>
      </w:r>
    </w:p>
    <w:bookmarkEnd w:id="20"/>
    <w:bookmarkStart w:id="21" w:name="X73ad813fe3632e50c4e1f07c9ae44d4e9de4b56"/>
    <w:p>
      <w:pPr>
        <w:pStyle w:val="Heading2"/>
      </w:pPr>
      <w:r>
        <w:t xml:space="preserve">2. Regulatory Compliance and Statutory Adherence</w:t>
      </w:r>
    </w:p>
    <w:p>
      <w:pPr>
        <w:pStyle w:val="FirstParagraph"/>
      </w:pPr>
      <w:r>
        <w:t xml:space="preserve">A critical component of this Peer Review Report is the assessment of the Architect’s adherence to Malaysian statutory requirements. The review confirms that the Architect demonstrates a robust understanding of the Local Government Act 1976 and the specific planning guidelines issued by the Kuala Lumpur City Hall (DBKL). The evaluation highlights the Architect’s proficiency in managing the planning approval process, ensuring that all submissions meet the requisite technical standards for building plans, fire safety, and accessibility.</w:t>
      </w:r>
    </w:p>
    <w:p>
      <w:pPr>
        <w:pStyle w:val="BodyText"/>
      </w:pPr>
      <w:r>
        <w:t xml:space="preserve">Furthermore, the Architect’s compliance with the Architects Act 1967 is evident in the maintenance of professional indemnity insurance and the proper registration of all projects. The review notes that the Architect consistently engages with relevant consultants, such as structural and mechanical engineers, in accordance with the collaborative requirements mandated for high-rise developments common in Kuala Lumpur. This adherence ensures that the Architect maintains the integrity of the built environment while fulfilling legal obligations.</w:t>
      </w:r>
    </w:p>
    <w:bookmarkEnd w:id="21"/>
    <w:bookmarkStart w:id="22" w:name="Xf3a1b0aaded55d9548927bbfaa88eb12fce9975"/>
    <w:p>
      <w:pPr>
        <w:pStyle w:val="Heading2"/>
      </w:pPr>
      <w:r>
        <w:t xml:space="preserve">3. Design Quality and Contextual Responsiveness</w:t>
      </w:r>
    </w:p>
    <w:p>
      <w:pPr>
        <w:pStyle w:val="FirstParagraph"/>
      </w:pPr>
      <w:r>
        <w:t xml:space="preserve">The Architect’s design philosophy is evaluated based on its responsiveness to the Kuala Lumpur context. The Peer Review Report observes a commendable effort to integrate bioclimatic design principles, which are essential for the tropical climate of Malaysia. The Architect’s recent projects demonstrate effective strategies for natural ventilation, shading, and passive cooling, reducing reliance on mechanical systems and contributing to energy efficiency.</w:t>
      </w:r>
    </w:p>
    <w:p>
      <w:pPr>
        <w:pStyle w:val="BodyText"/>
      </w:pPr>
      <w:r>
        <w:t xml:space="preserve">Additionally, the review assesses the Architect’s approach to urban density. In a city like Kuala Lumpur, where land is scarce and vertical expansion is prevalent, the Architect has shown skill in optimizing floor plates and creating functional, livable spaces. The design solutions reviewed reflect a balance between commercial viability and aesthetic quality, ensuring that developments contribute positively to the city’s skyline and urban fabric. The Architect’s sensitivity to local culture and heritage is also noted, particularly in projects located near historic districts, where design interventions respect the existing architectural character.</w:t>
      </w:r>
    </w:p>
    <w:bookmarkEnd w:id="22"/>
    <w:bookmarkStart w:id="23" w:name="project-management-and-site-supervision"/>
    <w:p>
      <w:pPr>
        <w:pStyle w:val="Heading2"/>
      </w:pPr>
      <w:r>
        <w:t xml:space="preserve">4. Project Management and Site Supervision</w:t>
      </w:r>
    </w:p>
    <w:p>
      <w:pPr>
        <w:pStyle w:val="FirstParagraph"/>
      </w:pPr>
      <w:r>
        <w:t xml:space="preserve">Effective project management is vital for the successful delivery of architectural projects in Malaysia. This Peer Review Report evaluates the Architect’s capability in overseeing construction phases, ensuring that the built outcome aligns with the approved design intent. The review finds that the Architect maintains rigorous site supervision protocols, conducting regular inspections to monitor workmanship, material quality, and safety standards.</w:t>
      </w:r>
    </w:p>
    <w:p>
      <w:pPr>
        <w:pStyle w:val="BodyText"/>
      </w:pPr>
      <w:r>
        <w:t xml:space="preserve">The Architect’s ability to manage stakeholder relationships, including clients, contractors, and government authorities, is also assessed. The report highlights the Architect’s proactive communication style, which facilitates timely resolution of issues and minimizes project delays. This is particularly important in Kuala Lumpur, where logistical challenges and regulatory approvals can impact project timelines. The Architect’s documentation practices, including the issuance of site instructions and variation orders, are found to be thorough and compliant with standard contract conditions.</w:t>
      </w:r>
    </w:p>
    <w:bookmarkEnd w:id="23"/>
    <w:bookmarkStart w:id="24" w:name="sustainability-and-ethical-practice"/>
    <w:p>
      <w:pPr>
        <w:pStyle w:val="Heading2"/>
      </w:pPr>
      <w:r>
        <w:t xml:space="preserve">5. Sustainability and Ethical Practice</w:t>
      </w:r>
    </w:p>
    <w:p>
      <w:pPr>
        <w:pStyle w:val="FirstParagraph"/>
      </w:pPr>
      <w:r>
        <w:t xml:space="preserve">Sustainability is a growing priority in Malaysian architecture, and this Peer Review Report examines the Architect’s commitment to green building practices. The Architect is encouraged to further integrate Green Building Index (GBI) certification criteria into their design process, promoting environmental stewardship and resource efficiency. The review notes initial efforts in this direction but recommends a more systematic approach to sustainability across all project scales.</w:t>
      </w:r>
    </w:p>
    <w:p>
      <w:pPr>
        <w:pStyle w:val="BodyText"/>
      </w:pPr>
      <w:r>
        <w:t xml:space="preserve">Ethical practice is another cornerstone of this assessment. The Architect is evaluated against the Code of Ethics and Conduct prescribed by the Board of Architects Malaysia. The review confirms that the Architect upholds principles of integrity, impartiality, and professional responsibility. There are no findings of conflicts of interest or unethical behavior, reinforcing the Architect’s standing as a trusted professional in the Kuala Lumpur market.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Architect operates at a high professional standard, meeting the requirements of the Malaysian regulatory framework and delivering quality design solutions tailored to the Kuala Lumpur context. The Architect demonstrates competence in design, project management, and statutory compliance, contributing positively to the architectural landscape of Malaysia.</w:t>
      </w:r>
    </w:p>
    <w:p>
      <w:pPr>
        <w:pStyle w:val="BodyText"/>
      </w:pPr>
      <w:r>
        <w:t xml:space="preserve">Recommendations for continuous improvement include enhancing the integration of sustainable design certifications, exploring innovative construction technologies, and deepening engagement with community-centric design approaches. By addressing these areas, the Architect can further elevate their practice and remain at the forefront of architectural excellence in Kuala Lumpur.</w:t>
      </w:r>
    </w:p>
    <w:p>
      <w:pPr>
        <w:pStyle w:val="BodyText"/>
      </w:pPr>
      <w:r>
        <w:rPr>
          <w:bCs/>
          <w:b/>
        </w:rPr>
        <w:t xml:space="preserve">Prepared by:</w:t>
      </w:r>
    </w:p>
    <w:p>
      <w:pPr>
        <w:pStyle w:val="BodyText"/>
      </w:pPr>
      <w:r>
        <w:t xml:space="preserve">Senior Peer Reviewer</w:t>
      </w:r>
      <w:r>
        <w:br/>
      </w:r>
      <w:r>
        <w:t xml:space="preserve">Board of Architects Malaysia (LAM) Accredited Reviewer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Kuala Lumpur</dc:title>
  <dc:creator/>
  <dc:language>en</dc:language>
  <cp:keywords/>
  <dcterms:created xsi:type="dcterms:W3CDTF">2026-10-10T08:08:33Z</dcterms:created>
  <dcterms:modified xsi:type="dcterms:W3CDTF">2026-10-10T08:08:33Z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