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Mexico</w:t>
      </w:r>
      <w:r>
        <w:t xml:space="preserve"> </w:t>
      </w:r>
      <w:r>
        <w:t xml:space="preserve">City</w:t>
      </w:r>
    </w:p>
    <w:bookmarkStart w:id="21" w:name="peer-review-report"/>
    <w:p>
      <w:pPr>
        <w:pStyle w:val="Heading1"/>
      </w:pPr>
      <w:r>
        <w:t xml:space="preserve">Peer Review Report</w:t>
      </w:r>
    </w:p>
    <w:bookmarkStart w:id="20" w:name="X68d315353bb1eb250e7474f0d15f4098ce79a9f"/>
    <w:p>
      <w:pPr>
        <w:pStyle w:val="Heading3"/>
      </w:pPr>
      <w:r>
        <w:t xml:space="preserve">Subject: Professional Competency and Project Execution in Architectural Design</w:t>
      </w:r>
    </w:p>
    <w:p>
      <w:pPr>
        <w:pStyle w:val="FirstParagraph"/>
      </w:pPr>
      <w:r>
        <w:rPr>
          <w:bCs/>
          <w:b/>
        </w:rPr>
        <w:t xml:space="preserve">Location:</w:t>
      </w:r>
      <w:r>
        <w:t xml:space="preserve"> </w:t>
      </w:r>
      <w:r>
        <w:t xml:space="preserve">Mexico, Mexico City (Ciudad de México)</w:t>
      </w:r>
      <w:r>
        <w:t xml:space="preserve"> </w:t>
      </w:r>
      <w:r>
        <w:rPr>
          <w:bCs/>
          <w:b/>
        </w:rPr>
        <w:t xml:space="preserve">Date:</w:t>
      </w:r>
      <w:r>
        <w:t xml:space="preserve"> </w:t>
      </w:r>
      <w:r>
        <w:t xml:space="preserve">October 24, 2023</w:t>
      </w:r>
      <w:r>
        <w:t xml:space="preserve"> </w:t>
      </w:r>
      <w:r>
        <w:rPr>
          <w:bCs/>
          <w:b/>
        </w:rPr>
        <w:t xml:space="preserve">Reviewer ID:</w:t>
      </w:r>
      <w:r>
        <w:t xml:space="preserve"> </w:t>
      </w:r>
      <w:r>
        <w:t xml:space="preserve">PR-MX-2023-089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adherence, and design innovation of the</w:t>
      </w:r>
      <w:r>
        <w:t xml:space="preserve"> </w:t>
      </w:r>
      <w:r>
        <w:rPr>
          <w:bCs/>
          <w:b/>
        </w:rPr>
        <w:t xml:space="preserve">Architect</w:t>
      </w:r>
      <w:r>
        <w:t xml:space="preserve"> </w:t>
      </w:r>
      <w:r>
        <w:t xml:space="preserve">regarding recent developments within the urban fabric of</w:t>
      </w:r>
      <w:r>
        <w:t xml:space="preserve"> </w:t>
      </w:r>
      <w:r>
        <w:rPr>
          <w:bCs/>
          <w:b/>
        </w:rPr>
        <w:t xml:space="preserve">Mexico, Mexico City</w:t>
      </w:r>
      <w:r>
        <w:t xml:space="preserve">. The review focuses on the intersection of modern architectural practices with the specific regulatory, environmental, and cultural demands of the capital. The assessment confirms that the Architect demonstrates a high level of competency, particularly in navigating the complex seismic and zoning regulations unique to the region.</w:t>
      </w:r>
    </w:p>
    <w:bookmarkEnd w:id="22"/>
    <w:bookmarkStart w:id="23" w:name="Xfd0190b745c15f302eb091d6c1ebbfcf6e9196a"/>
    <w:p>
      <w:pPr>
        <w:pStyle w:val="Heading2"/>
      </w:pPr>
      <w:r>
        <w:t xml:space="preserve">2. Contextual Analysis: The Mexico City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Mexico City</w:t>
      </w:r>
      <w:r>
        <w:t xml:space="preserve"> </w:t>
      </w:r>
      <w:r>
        <w:t xml:space="preserve">requires a nuanced understanding of the local context that goes beyond standard international building codes. This</w:t>
      </w:r>
      <w:r>
        <w:t xml:space="preserve"> </w:t>
      </w:r>
      <w:r>
        <w:rPr>
          <w:bCs/>
          <w:b/>
        </w:rPr>
        <w:t xml:space="preserve">Peer Review Report</w:t>
      </w:r>
      <w:r>
        <w:t xml:space="preserve"> </w:t>
      </w:r>
      <w:r>
        <w:t xml:space="preserve">highlights the subject's ability to integrate design with the specific challenges of the Valley of Mexico. Key factors analyzed include:</w:t>
      </w:r>
    </w:p>
    <w:p>
      <w:pPr>
        <w:numPr>
          <w:ilvl w:val="0"/>
          <w:numId w:val="1001"/>
        </w:numPr>
        <w:pStyle w:val="Compact"/>
      </w:pPr>
      <w:r>
        <w:rPr>
          <w:bCs/>
          <w:b/>
        </w:rPr>
        <w:t xml:space="preserve">Seismic Resilience:</w:t>
      </w:r>
      <w:r>
        <w:t xml:space="preserve"> </w:t>
      </w:r>
      <w:r>
        <w:t xml:space="preserve">Given the city's history of seismic activity, the Architect's structural detailing and material selection were scrutinized. The review finds that the designs strictly adhere to the</w:t>
      </w:r>
      <w:r>
        <w:t xml:space="preserve"> </w:t>
      </w:r>
      <w:r>
        <w:rPr>
          <w:iCs/>
          <w:i/>
        </w:rPr>
        <w:t xml:space="preserve">Reglamento de Construcción para la Ciudad de México</w:t>
      </w:r>
      <w:r>
        <w:t xml:space="preserve">, ensuring safety without compromising aesthetic integrity.</w:t>
      </w:r>
    </w:p>
    <w:p>
      <w:pPr>
        <w:numPr>
          <w:ilvl w:val="0"/>
          <w:numId w:val="1001"/>
        </w:numPr>
        <w:pStyle w:val="Compact"/>
      </w:pPr>
      <w:r>
        <w:rPr>
          <w:bCs/>
          <w:b/>
        </w:rPr>
        <w:t xml:space="preserve">Soil Conditions:</w:t>
      </w:r>
      <w:r>
        <w:t xml:space="preserve"> </w:t>
      </w:r>
      <w:r>
        <w:t xml:space="preserve">The unique lacustrine soil conditions of the former Lake Texcoco require specialized foundation engineering. The Architect has shown commendable collaboration with geotechnical engineers to mitigate differential settlement risks.</w:t>
      </w:r>
    </w:p>
    <w:p>
      <w:pPr>
        <w:numPr>
          <w:ilvl w:val="0"/>
          <w:numId w:val="1001"/>
        </w:numPr>
        <w:pStyle w:val="Compact"/>
      </w:pPr>
      <w:r>
        <w:rPr>
          <w:bCs/>
          <w:b/>
        </w:rPr>
        <w:t xml:space="preserve">Urban Density:</w:t>
      </w:r>
      <w:r>
        <w:t xml:space="preserve"> </w:t>
      </w:r>
      <w:r>
        <w:t xml:space="preserve">The review assesses how the Architect manages high-density constraints in neighborhoods such as Polanco, Roma, and Condesa, ensuring adequate light, ventilation, and public space integration.</w:t>
      </w:r>
    </w:p>
    <w:bookmarkEnd w:id="23"/>
    <w:bookmarkStart w:id="24" w:name="regulatory-compliance-and-documentation"/>
    <w:p>
      <w:pPr>
        <w:pStyle w:val="Heading2"/>
      </w:pPr>
      <w:r>
        <w:t xml:space="preserve">3. Regulatory Compliance and Documentation</w:t>
      </w:r>
    </w:p>
    <w:p>
      <w:pPr>
        <w:pStyle w:val="FirstParagraph"/>
      </w:pPr>
      <w:r>
        <w:t xml:space="preserve">A critical component of this</w:t>
      </w:r>
      <w:r>
        <w:t xml:space="preserve"> </w:t>
      </w:r>
      <w:r>
        <w:rPr>
          <w:bCs/>
          <w:b/>
        </w:rPr>
        <w:t xml:space="preserve">Peer Review Report</w:t>
      </w:r>
      <w:r>
        <w:t xml:space="preserve"> </w:t>
      </w:r>
      <w:r>
        <w:t xml:space="preserve">is the evaluation of administrative and legal compliance. In</w:t>
      </w:r>
      <w:r>
        <w:t xml:space="preserve"> </w:t>
      </w:r>
      <w:r>
        <w:rPr>
          <w:bCs/>
          <w:b/>
        </w:rPr>
        <w:t xml:space="preserve">Mexico, Mexico City</w:t>
      </w:r>
      <w:r>
        <w:t xml:space="preserve">, the bureaucratic process for obtaining construction permits (</w:t>
      </w:r>
      <w:r>
        <w:rPr>
          <w:iCs/>
          <w:i/>
        </w:rPr>
        <w:t xml:space="preserve">Permisos de Construcción</w:t>
      </w:r>
      <w:r>
        <w:t xml:space="preserve">) is rigorous.</w:t>
      </w:r>
    </w:p>
    <w:p>
      <w:pPr>
        <w:pStyle w:val="BodyText"/>
      </w:pPr>
      <w:r>
        <w:t xml:space="preserve">The</w:t>
      </w:r>
      <w:r>
        <w:t xml:space="preserve"> </w:t>
      </w:r>
      <w:r>
        <w:rPr>
          <w:bCs/>
          <w:b/>
        </w:rPr>
        <w:t xml:space="preserve">Architect</w:t>
      </w:r>
      <w:r>
        <w:t xml:space="preserve"> </w:t>
      </w:r>
      <w:r>
        <w:t xml:space="preserve">has demonstrated exceptional proficiency in preparing the necessary documentation for the</w:t>
      </w:r>
      <w:r>
        <w:t xml:space="preserve"> </w:t>
      </w:r>
      <w:r>
        <w:rPr>
          <w:iCs/>
          <w:i/>
        </w:rPr>
        <w:t xml:space="preserve">Secretaría de Desarrollo Urbano y Vivienda</w:t>
      </w:r>
      <w:r>
        <w:t xml:space="preserve"> </w:t>
      </w:r>
      <w:r>
        <w:t xml:space="preserve">(SEDUVI). The review notes that:</w:t>
      </w:r>
    </w:p>
    <w:p>
      <w:pPr>
        <w:numPr>
          <w:ilvl w:val="0"/>
          <w:numId w:val="1002"/>
        </w:numPr>
        <w:pStyle w:val="Compact"/>
      </w:pPr>
      <w:r>
        <w:t xml:space="preserve">Land use classifications (</w:t>
      </w:r>
      <w:r>
        <w:rPr>
          <w:iCs/>
          <w:i/>
        </w:rPr>
        <w:t xml:space="preserve">Usos de Suelo</w:t>
      </w:r>
      <w:r>
        <w:t xml:space="preserve">) were correctly interpreted and applied.</w:t>
      </w:r>
    </w:p>
    <w:p>
      <w:pPr>
        <w:numPr>
          <w:ilvl w:val="0"/>
          <w:numId w:val="1002"/>
        </w:numPr>
        <w:pStyle w:val="Compact"/>
      </w:pPr>
      <w:r>
        <w:t xml:space="preserve">Setback requirements (</w:t>
      </w:r>
      <w:r>
        <w:rPr>
          <w:iCs/>
          <w:i/>
        </w:rPr>
        <w:t xml:space="preserve">Retiros</w:t>
      </w:r>
      <w:r>
        <w:t xml:space="preserve">) and floor area ratios (</w:t>
      </w:r>
      <w:r>
        <w:rPr>
          <w:iCs/>
          <w:i/>
        </w:rPr>
        <w:t xml:space="preserve">Coeficiente de Ocupación</w:t>
      </w:r>
      <w:r>
        <w:t xml:space="preserve">) were calculated with precision.</w:t>
      </w:r>
    </w:p>
    <w:p>
      <w:pPr>
        <w:numPr>
          <w:ilvl w:val="0"/>
          <w:numId w:val="1002"/>
        </w:numPr>
        <w:pStyle w:val="Compact"/>
      </w:pPr>
      <w:r>
        <w:t xml:space="preserve">Historical preservation guidelines were respected in projects located within designated heritage zones.</w:t>
      </w:r>
    </w:p>
    <w:p>
      <w:pPr>
        <w:pStyle w:val="FirstParagraph"/>
      </w:pPr>
      <w:r>
        <w:rPr>
          <w:bCs/>
          <w:b/>
        </w:rPr>
        <w:t xml:space="preserve">Reviewer Note:</w:t>
      </w:r>
      <w:r>
        <w:t xml:space="preserve"> </w:t>
      </w:r>
      <w:r>
        <w:t xml:space="preserve">The Architect's ability to navigate the local regulatory framework in Mexico City significantly reduces project delays, a common issue in the region.</w:t>
      </w:r>
    </w:p>
    <w:bookmarkEnd w:id="24"/>
    <w:bookmarkStart w:id="25" w:name="design-quality-and-cultural-integration"/>
    <w:p>
      <w:pPr>
        <w:pStyle w:val="Heading2"/>
      </w:pPr>
      <w:r>
        <w:t xml:space="preserve">4. Design Quality and Cultural Integration</w:t>
      </w:r>
    </w:p>
    <w:p>
      <w:pPr>
        <w:pStyle w:val="FirstParagraph"/>
      </w:pPr>
      <w:r>
        <w:t xml:space="preserve">Beyond technical compliance, this</w:t>
      </w:r>
      <w:r>
        <w:t xml:space="preserve"> </w:t>
      </w:r>
      <w:r>
        <w:rPr>
          <w:bCs/>
          <w:b/>
        </w:rPr>
        <w:t xml:space="preserve">Peer Review Report</w:t>
      </w:r>
      <w:r>
        <w:t xml:space="preserve"> </w:t>
      </w:r>
      <w:r>
        <w:t xml:space="preserve">evaluates the aesthetic and cultural relevance of the Architect's work.</w:t>
      </w:r>
      <w:r>
        <w:t xml:space="preserve"> </w:t>
      </w:r>
      <w:r>
        <w:rPr>
          <w:bCs/>
          <w:b/>
        </w:rPr>
        <w:t xml:space="preserve">Mexico City</w:t>
      </w:r>
      <w:r>
        <w:t xml:space="preserve"> </w:t>
      </w:r>
      <w:r>
        <w:t xml:space="preserve">is a city of contrasts, blending pre-Hispanic history, colonial architecture, and brutalist modernism.</w:t>
      </w:r>
    </w:p>
    <w:p>
      <w:pPr>
        <w:pStyle w:val="BodyText"/>
      </w:pPr>
      <w:r>
        <w:t xml:space="preserve">The Architect has successfully avoided generic international styles, instead opting for a contextual approach. The review highlights the use of local materials, such as cantera stone and volcanic rock, which not only reduce the carbon footprint associated with transportation but also root the buildings in the local identity. Furthermore, the integration of interior courtyards (</w:t>
      </w:r>
      <w:r>
        <w:rPr>
          <w:iCs/>
          <w:i/>
        </w:rPr>
        <w:t xml:space="preserve">patios</w:t>
      </w:r>
      <w:r>
        <w:t xml:space="preserve">) reflects a deep understanding of traditional Mexican domestic architecture, providing necessary thermal comfort and social spaces in a dense urban environment.</w:t>
      </w:r>
    </w:p>
    <w:bookmarkEnd w:id="25"/>
    <w:bookmarkStart w:id="26" w:name="sustainability-and-environmental-impact"/>
    <w:p>
      <w:pPr>
        <w:pStyle w:val="Heading2"/>
      </w:pPr>
      <w:r>
        <w:t xml:space="preserve">5. Sustainability and Environmental Impact</w:t>
      </w:r>
    </w:p>
    <w:p>
      <w:pPr>
        <w:pStyle w:val="FirstParagraph"/>
      </w:pPr>
      <w:r>
        <w:t xml:space="preserve">Environmental sustainability is a growing priority in</w:t>
      </w:r>
      <w:r>
        <w:t xml:space="preserve"> </w:t>
      </w:r>
      <w:r>
        <w:rPr>
          <w:bCs/>
          <w:b/>
        </w:rPr>
        <w:t xml:space="preserve">Mexico City</w:t>
      </w:r>
      <w:r>
        <w:t xml:space="preserve"> </w:t>
      </w:r>
      <w:r>
        <w:t xml:space="preserve">due to air quality concerns and water scarcity. This</w:t>
      </w:r>
      <w:r>
        <w:t xml:space="preserve"> </w:t>
      </w:r>
      <w:r>
        <w:rPr>
          <w:bCs/>
          <w:b/>
        </w:rPr>
        <w:t xml:space="preserve">Peer Review Report</w:t>
      </w:r>
      <w:r>
        <w:t xml:space="preserve"> </w:t>
      </w:r>
      <w:r>
        <w:t xml:space="preserve">assesses the Architect's commitment to green building practices.</w:t>
      </w:r>
    </w:p>
    <w:p>
      <w:pPr>
        <w:pStyle w:val="BodyText"/>
      </w:pPr>
      <w:r>
        <w:t xml:space="preserve">The Architect has incorporated several sustainable strategies into recent projects:</w:t>
      </w:r>
    </w:p>
    <w:p>
      <w:pPr>
        <w:numPr>
          <w:ilvl w:val="0"/>
          <w:numId w:val="1003"/>
        </w:numPr>
        <w:pStyle w:val="Compact"/>
      </w:pPr>
      <w:r>
        <w:rPr>
          <w:bCs/>
          <w:b/>
        </w:rPr>
        <w:t xml:space="preserve">Water Management:</w:t>
      </w:r>
      <w:r>
        <w:t xml:space="preserve"> </w:t>
      </w:r>
      <w:r>
        <w:t xml:space="preserve">Implementation of rainwater harvesting systems and greywater recycling, crucial for a city facing aquifer depletion.</w:t>
      </w:r>
    </w:p>
    <w:p>
      <w:pPr>
        <w:numPr>
          <w:ilvl w:val="0"/>
          <w:numId w:val="1003"/>
        </w:numPr>
        <w:pStyle w:val="Compact"/>
      </w:pPr>
      <w:r>
        <w:rPr>
          <w:bCs/>
          <w:b/>
        </w:rPr>
        <w:t xml:space="preserve">Energy Efficiency:</w:t>
      </w:r>
      <w:r>
        <w:t xml:space="preserve"> </w:t>
      </w:r>
      <w:r>
        <w:t xml:space="preserve">Use of high-performance glazing and passive cooling strategies to reduce reliance on mechanical air conditioning.</w:t>
      </w:r>
    </w:p>
    <w:p>
      <w:pPr>
        <w:numPr>
          <w:ilvl w:val="0"/>
          <w:numId w:val="1003"/>
        </w:numPr>
        <w:pStyle w:val="Compact"/>
      </w:pPr>
      <w:r>
        <w:rPr>
          <w:bCs/>
          <w:b/>
        </w:rPr>
        <w:t xml:space="preserve">Green Spaces:</w:t>
      </w:r>
      <w:r>
        <w:t xml:space="preserve"> </w:t>
      </w:r>
      <w:r>
        <w:t xml:space="preserve">Maximization of vertical gardens and rooftop terraces to mitigate the urban heat island effect prevalent in the metropolitan area.</w:t>
      </w:r>
    </w:p>
    <w:bookmarkEnd w:id="26"/>
    <w:bookmarkStart w:id="27" w:name="professional-conduct-and-collaboration"/>
    <w:p>
      <w:pPr>
        <w:pStyle w:val="Heading2"/>
      </w:pPr>
      <w:r>
        <w:t xml:space="preserve">6. Professional Conduct and Collaboration</w:t>
      </w:r>
    </w:p>
    <w:p>
      <w:pPr>
        <w:pStyle w:val="FirstParagraph"/>
      </w:pPr>
      <w:r>
        <w:t xml:space="preserve">The final section of this</w:t>
      </w:r>
      <w:r>
        <w:t xml:space="preserve"> </w:t>
      </w:r>
      <w:r>
        <w:rPr>
          <w:bCs/>
          <w:b/>
        </w:rPr>
        <w:t xml:space="preserve">Peer Review Report</w:t>
      </w:r>
      <w:r>
        <w:t xml:space="preserve"> </w:t>
      </w:r>
      <w:r>
        <w:t xml:space="preserve">addresses the Architect's professional ethics and collaborative skills. In the complex ecosystem of</w:t>
      </w:r>
      <w:r>
        <w:t xml:space="preserve"> </w:t>
      </w:r>
      <w:r>
        <w:rPr>
          <w:bCs/>
          <w:b/>
        </w:rPr>
        <w:t xml:space="preserve">Mexico City</w:t>
      </w:r>
      <w:r>
        <w:t xml:space="preserve"> </w:t>
      </w:r>
      <w:r>
        <w:t xml:space="preserve">construction, an Architect must coordinate with a diverse team of engineers, contractors, and government officials.</w:t>
      </w:r>
    </w:p>
    <w:p>
      <w:pPr>
        <w:pStyle w:val="BodyText"/>
      </w:pPr>
      <w:r>
        <w:t xml:space="preserve">Feedback from peers and clients indicates that the Architect maintains transparent communication and upholds the highest standards of integrity. The review confirms that the Architect actively participates in continuing education programs offered by the</w:t>
      </w:r>
      <w:r>
        <w:t xml:space="preserve"> </w:t>
      </w:r>
      <w:r>
        <w:rPr>
          <w:iCs/>
          <w:i/>
        </w:rPr>
        <w:t xml:space="preserve">Coordinación de Arquitectos de la Ciudad de México</w:t>
      </w:r>
      <w:r>
        <w:t xml:space="preserve">, ensuring that their knowledge remains current with evolving building technologies and codes.</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Architect</w:t>
      </w:r>
      <w:r>
        <w:t xml:space="preserve"> </w:t>
      </w:r>
      <w:r>
        <w:t xml:space="preserve">exhibits a superior level of professional competence suitable for the demanding environment of</w:t>
      </w:r>
      <w:r>
        <w:t xml:space="preserve"> </w:t>
      </w:r>
      <w:r>
        <w:rPr>
          <w:bCs/>
          <w:b/>
        </w:rPr>
        <w:t xml:space="preserve">Mexico, Mexico City</w:t>
      </w:r>
      <w:r>
        <w:t xml:space="preserve">. The subject demonstrates a rare balance of technical rigor, regulatory knowledge, and creative vision.</w:t>
      </w:r>
    </w:p>
    <w:p>
      <w:pPr>
        <w:pStyle w:val="BodyText"/>
      </w:pPr>
      <w:r>
        <w:rPr>
          <w:bCs/>
          <w:b/>
        </w:rPr>
        <w:t xml:space="preserve">Recommendations:</w:t>
      </w:r>
    </w:p>
    <w:p>
      <w:pPr>
        <w:numPr>
          <w:ilvl w:val="0"/>
          <w:numId w:val="1004"/>
        </w:numPr>
        <w:pStyle w:val="Compact"/>
      </w:pPr>
      <w:r>
        <w:t xml:space="preserve">Continue to advocate for stricter seismic retrofitting standards in existing structures.</w:t>
      </w:r>
    </w:p>
    <w:p>
      <w:pPr>
        <w:numPr>
          <w:ilvl w:val="0"/>
          <w:numId w:val="1004"/>
        </w:numPr>
        <w:pStyle w:val="Compact"/>
      </w:pPr>
      <w:r>
        <w:t xml:space="preserve">Expand research into biophilic design tailored to the specific microclimates of the Valley of Mexico.</w:t>
      </w:r>
    </w:p>
    <w:p>
      <w:pPr>
        <w:numPr>
          <w:ilvl w:val="0"/>
          <w:numId w:val="1004"/>
        </w:numPr>
        <w:pStyle w:val="Compact"/>
      </w:pPr>
      <w:r>
        <w:t xml:space="preserve">Mentor emerging architects on the intricacies of local zoning laws to strengthen the profession in the region.</w:t>
      </w:r>
    </w:p>
    <w:p>
      <w:pPr>
        <w:pStyle w:val="FirstParagraph"/>
      </w:pPr>
      <w:r>
        <w:t xml:space="preserve">This report serves as a formal endorsement of the Architect's capabilities and contributions to the built environment of Mexico City.</w:t>
      </w:r>
    </w:p>
    <w:bookmarkEnd w:id="28"/>
    <w:p>
      <w:pPr>
        <w:pStyle w:val="BodyText"/>
      </w:pPr>
      <w:r>
        <w:t xml:space="preserve">© 2023 Professional Architectural Review Board.</w:t>
      </w:r>
      <w:r>
        <w:br/>
      </w:r>
      <w:r>
        <w:t xml:space="preserve">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Mexico City</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