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Practice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Committee of Senior Architects &amp; Urban Planners</w:t>
      </w:r>
    </w:p>
    <w:p>
      <w:pPr>
        <w:pStyle w:val="BodyText"/>
      </w:pPr>
      <w:r>
        <w:rPr>
          <w:bCs/>
          <w:b/>
        </w:rPr>
        <w:t xml:space="preserve">Scope:</w:t>
      </w:r>
      <w:r>
        <w:t xml:space="preserve"> </w:t>
      </w:r>
      <w:r>
        <w:t xml:space="preserve">Comprehensive assessment of design methodology, regulatory compliance, sustainability integration, and cultural responsiveness within the Amsterdam metropolitan context.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critical analysis of the professional output and operational standards of the subject</w:t>
      </w:r>
      <w:r>
        <w:t xml:space="preserve"> </w:t>
      </w:r>
      <w:r>
        <w:rPr>
          <w:bCs/>
          <w:b/>
        </w:rPr>
        <w:t xml:space="preserve">Architect</w:t>
      </w:r>
      <w:r>
        <w:t xml:space="preserve"> </w:t>
      </w:r>
      <w:r>
        <w:t xml:space="preserve">operating within the dynamic urban landscape of</w:t>
      </w:r>
      <w:r>
        <w:t xml:space="preserve"> </w:t>
      </w:r>
      <w:r>
        <w:rPr>
          <w:bCs/>
          <w:b/>
        </w:rPr>
        <w:t xml:space="preserve">Netherlands Amsterdam</w:t>
      </w:r>
      <w:r>
        <w:t xml:space="preserve">. The review was conducted to evaluate the alignment of the architect's portfolio with the stringent requirements of the Dutch Building Decree (Bouwbesluit), the Amsterdam Environmental Vision (Omgevingsvisie), and the broader expectations of the Dutch architectural community.</w:t>
      </w:r>
    </w:p>
    <w:p>
      <w:pPr>
        <w:pStyle w:val="BodyText"/>
      </w:pPr>
      <w:r>
        <w:t xml:space="preserve">The findings indicate a high level of technical proficiency and a commendable sensitivity to the unique historical and topographical constraints of Amsterdam. However, the report identifies specific areas regarding circular economy implementation and social housing integration that require further refinement to meet the evolving standards of the Netherlands.</w:t>
      </w:r>
    </w:p>
    <w:bookmarkEnd w:id="21"/>
    <w:bookmarkStart w:id="22" w:name="X1af99f00589ed0f66163f3d1018632d811e0bb1"/>
    <w:p>
      <w:pPr>
        <w:pStyle w:val="Heading2"/>
      </w:pPr>
      <w:r>
        <w:t xml:space="preserve">2. Contextual Analysis: The Amsterdam Framework</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Netherlands Amsterdam</w:t>
      </w:r>
      <w:r>
        <w:t xml:space="preserve"> </w:t>
      </w:r>
      <w:r>
        <w:t xml:space="preserve">demands a nuanced understanding of a city defined by its canal ring (Grachtengordel), its dense urban fabric, and its progressive stance on sustainability. This</w:t>
      </w:r>
      <w:r>
        <w:t xml:space="preserve"> </w:t>
      </w:r>
      <w:r>
        <w:rPr>
          <w:bCs/>
          <w:b/>
        </w:rPr>
        <w:t xml:space="preserve">Peer Review Report</w:t>
      </w:r>
      <w:r>
        <w:t xml:space="preserve"> </w:t>
      </w:r>
      <w:r>
        <w:t xml:space="preserve">assesses how the subject navigates these complexities. Amsterdam is not merely a location but a regulatory and cultural ecosystem. The architect must balance the preservation of 17th-century heritage with the urgent need for modernization and climate adaptation.</w:t>
      </w:r>
    </w:p>
    <w:p>
      <w:pPr>
        <w:pStyle w:val="BodyText"/>
      </w:pPr>
      <w:r>
        <w:t xml:space="preserve">The review panel observed that the subject demonstrates a strong grasp of the "Amsterdam School" aesthetic influences while attempting to integrate contemporary minimalism. This duality is essential in the Netherlands, where new interventions must converse respectfully with existing structures. The architect's ability to secure permits from the Amsterdam municipality suggests a robust understanding of local zoning laws and the Omgevingswet (Environmental Act).</w:t>
      </w:r>
    </w:p>
    <w:bookmarkEnd w:id="22"/>
    <w:bookmarkStart w:id="25" w:name="design-quality-and-urban-integration"/>
    <w:p>
      <w:pPr>
        <w:pStyle w:val="Heading2"/>
      </w:pPr>
      <w:r>
        <w:t xml:space="preserve">3. Design Quality and Urban Integration</w:t>
      </w:r>
    </w:p>
    <w:bookmarkStart w:id="23" w:name="spatial-efficiency"/>
    <w:p>
      <w:pPr>
        <w:pStyle w:val="Heading3"/>
      </w:pPr>
      <w:r>
        <w:t xml:space="preserve">3.1. Spatial Efficiency</w:t>
      </w:r>
    </w:p>
    <w:p>
      <w:pPr>
        <w:pStyle w:val="FirstParagraph"/>
      </w:pPr>
      <w:r>
        <w:t xml:space="preserve">Land scarcity in Amsterdam necessitates innovative spatial solutions. The</w:t>
      </w:r>
      <w:r>
        <w:t xml:space="preserve"> </w:t>
      </w:r>
      <w:r>
        <w:rPr>
          <w:bCs/>
          <w:b/>
        </w:rPr>
        <w:t xml:space="preserve">Architect</w:t>
      </w:r>
      <w:r>
        <w:t xml:space="preserve"> </w:t>
      </w:r>
      <w:r>
        <w:t xml:space="preserve">has demonstrated competence in vertical densification strategies. The reviewed projects show efficient floor plans that maximize livable square meters without compromising light access—a critical factor in the narrow streets of Amsterdam. The use of light wells and rooftop extensions aligns well with the Dutch tradition of maximizing limited footprints.</w:t>
      </w:r>
    </w:p>
    <w:bookmarkEnd w:id="23"/>
    <w:bookmarkStart w:id="24" w:name="public-realm-interaction"/>
    <w:p>
      <w:pPr>
        <w:pStyle w:val="Heading3"/>
      </w:pPr>
      <w:r>
        <w:t xml:space="preserve">3.2. Public Realm Interaction</w:t>
      </w:r>
    </w:p>
    <w:p>
      <w:pPr>
        <w:pStyle w:val="FirstParagraph"/>
      </w:pPr>
      <w:r>
        <w:t xml:space="preserve">A key criterion in this</w:t>
      </w:r>
      <w:r>
        <w:t xml:space="preserve"> </w:t>
      </w:r>
      <w:r>
        <w:rPr>
          <w:bCs/>
          <w:b/>
        </w:rPr>
        <w:t xml:space="preserve">Peer Review Report</w:t>
      </w:r>
      <w:r>
        <w:t xml:space="preserve"> </w:t>
      </w:r>
      <w:r>
        <w:t xml:space="preserve">is the contribution to the public realm. Dutch urbanism prioritizes the cyclist and the pedestrian. The subject's designs generally incorporate adequate ground-floor activation and safe cycling infrastructure. However, in two reviewed residential complexes, the transition between private and public space was found to be abrupt, lacking the "semi-public" buffer zones that characterize successful Amsterdam neighborhoods.</w:t>
      </w:r>
    </w:p>
    <w:bookmarkEnd w:id="24"/>
    <w:bookmarkEnd w:id="25"/>
    <w:bookmarkStart w:id="26" w:name="sustainability-and-circular-economy"/>
    <w:p>
      <w:pPr>
        <w:pStyle w:val="Heading2"/>
      </w:pPr>
      <w:r>
        <w:t xml:space="preserve">4. Sustainability and Circular Economy</w:t>
      </w:r>
    </w:p>
    <w:p>
      <w:pPr>
        <w:pStyle w:val="FirstParagraph"/>
      </w:pPr>
      <w:r>
        <w:t xml:space="preserve">The Netherlands is a global leader in sustainable construction, and Amsterdam has set ambitious targets for carbon neutrality. This section of the</w:t>
      </w:r>
      <w:r>
        <w:t xml:space="preserve"> </w:t>
      </w:r>
      <w:r>
        <w:rPr>
          <w:bCs/>
          <w:b/>
        </w:rPr>
        <w:t xml:space="preserve">Peer Review Report</w:t>
      </w:r>
      <w:r>
        <w:t xml:space="preserve"> </w:t>
      </w:r>
      <w:r>
        <w:t xml:space="preserve">scrutinizes the</w:t>
      </w:r>
      <w:r>
        <w:t xml:space="preserve"> </w:t>
      </w:r>
      <w:r>
        <w:rPr>
          <w:bCs/>
          <w:b/>
        </w:rPr>
        <w:t xml:space="preserve">Architect</w:t>
      </w:r>
      <w:r>
        <w:t xml:space="preserve">'s commitment to these goals.</w:t>
      </w:r>
    </w:p>
    <w:p>
      <w:pPr>
        <w:numPr>
          <w:ilvl w:val="0"/>
          <w:numId w:val="1001"/>
        </w:numPr>
        <w:pStyle w:val="Compact"/>
      </w:pPr>
      <w:r>
        <w:rPr>
          <w:bCs/>
          <w:b/>
        </w:rPr>
        <w:t xml:space="preserve">Energy Performance:</w:t>
      </w:r>
      <w:r>
        <w:t xml:space="preserve"> </w:t>
      </w:r>
      <w:r>
        <w:t xml:space="preserve">The subject consistently achieves BENG (Nearly Energy Neutral Buildings) standards, which is mandatory in the Netherlands. The integration of heat pumps and solar thermal systems is standard practice in their portfolio.</w:t>
      </w:r>
    </w:p>
    <w:p>
      <w:pPr>
        <w:numPr>
          <w:ilvl w:val="0"/>
          <w:numId w:val="1001"/>
        </w:numPr>
        <w:pStyle w:val="Compact"/>
      </w:pPr>
      <w:r>
        <w:rPr>
          <w:bCs/>
          <w:b/>
        </w:rPr>
        <w:t xml:space="preserve">Circularity:</w:t>
      </w:r>
      <w:r>
        <w:t xml:space="preserve"> </w:t>
      </w:r>
      <w:r>
        <w:t xml:space="preserve">While energy performance is strong, the application of circular design principles is inconsistent. The Dutch government encourages the use of reusable materials and design for disassembly. The reviewed projects rely heavily on concrete, with limited evidence of material passports or secondary raw material usage. This is a critical gap in the context of Amsterdam's circular economy ambitions.</w:t>
      </w:r>
    </w:p>
    <w:p>
      <w:pPr>
        <w:numPr>
          <w:ilvl w:val="0"/>
          <w:numId w:val="1001"/>
        </w:numPr>
        <w:pStyle w:val="Compact"/>
      </w:pPr>
      <w:r>
        <w:rPr>
          <w:bCs/>
          <w:b/>
        </w:rPr>
        <w:t xml:space="preserve">Water Management:</w:t>
      </w:r>
      <w:r>
        <w:t xml:space="preserve"> </w:t>
      </w:r>
      <w:r>
        <w:t xml:space="preserve">Given Amsterdam's relationship with water, water management is paramount. The architect has successfully integrated rainwater retention systems in recent projects, contributing to the city's resilience against flooding.</w:t>
      </w:r>
    </w:p>
    <w:bookmarkEnd w:id="26"/>
    <w:bookmarkStart w:id="27" w:name="X8643c130920d25abe294435a3c5001d6cfcba74"/>
    <w:p>
      <w:pPr>
        <w:pStyle w:val="Heading2"/>
      </w:pPr>
      <w:r>
        <w:t xml:space="preserve">5. Regulatory Compliance and Professional Standards</w:t>
      </w:r>
    </w:p>
    <w:p>
      <w:pPr>
        <w:pStyle w:val="FirstParagraph"/>
      </w:pPr>
      <w:r>
        <w:t xml:space="preserve">Compliance with Dutch regulations is non-negotiable. This</w:t>
      </w:r>
      <w:r>
        <w:t xml:space="preserve"> </w:t>
      </w:r>
      <w:r>
        <w:rPr>
          <w:bCs/>
          <w:b/>
        </w:rPr>
        <w:t xml:space="preserve">Peer Review Report</w:t>
      </w:r>
      <w:r>
        <w:t xml:space="preserve"> </w:t>
      </w:r>
      <w:r>
        <w:t xml:space="preserve">confirms that the</w:t>
      </w:r>
      <w:r>
        <w:t xml:space="preserve"> </w:t>
      </w:r>
      <w:r>
        <w:rPr>
          <w:bCs/>
          <w:b/>
        </w:rPr>
        <w:t xml:space="preserve">Architect</w:t>
      </w:r>
      <w:r>
        <w:t xml:space="preserve"> </w:t>
      </w:r>
      <w:r>
        <w:t xml:space="preserve">adheres strictly to the Bouwbesluit regarding fire safety, accessibility, and structural integrity. The documentation quality is high, meeting the expectations of Dutch contractors and engineers.</w:t>
      </w:r>
    </w:p>
    <w:p>
      <w:pPr>
        <w:pStyle w:val="BodyText"/>
      </w:pPr>
      <w:r>
        <w:t xml:space="preserve">Furthermore, the architect's engagement with the local community during the planning phase aligns with the participatory culture prevalent in Amsterdam. Stakeholder meetings were documented effectively, showing a willingness to incorporate feedback from residents and local businesses, a practice highly valued in the Netherlands.</w:t>
      </w:r>
    </w:p>
    <w:bookmarkEnd w:id="27"/>
    <w:bookmarkStart w:id="29" w:name="critical-assessment-and-recommendations"/>
    <w:p>
      <w:pPr>
        <w:pStyle w:val="Heading2"/>
      </w:pPr>
      <w:r>
        <w:t xml:space="preserve">6. Critical Assessment and Recommendations</w:t>
      </w:r>
    </w:p>
    <w:p>
      <w:pPr>
        <w:pStyle w:val="FirstParagraph"/>
      </w:pPr>
      <w:r>
        <w:t xml:space="preserve">Design Innovation</w:t>
      </w:r>
      <w:r>
        <w:t xml:space="preserve"> </w:t>
      </w:r>
      <w:r>
        <w:t xml:space="preserve">8.5/10</w:t>
      </w:r>
    </w:p>
    <w:p>
      <w:pPr>
        <w:pStyle w:val="BodyText"/>
      </w:pPr>
      <w:r>
        <w:t xml:space="preserve">Regulatory Compliance</w:t>
      </w:r>
      <w:r>
        <w:t xml:space="preserve"> </w:t>
      </w:r>
      <w:r>
        <w:t xml:space="preserve">9.0/10</w:t>
      </w:r>
    </w:p>
    <w:p>
      <w:pPr>
        <w:pStyle w:val="BodyText"/>
      </w:pPr>
      <w:r>
        <w:t xml:space="preserve">Sustainability (Energy)</w:t>
      </w:r>
      <w:r>
        <w:t xml:space="preserve"> </w:t>
      </w:r>
      <w:r>
        <w:t xml:space="preserve">8.0/10</w:t>
      </w:r>
    </w:p>
    <w:p>
      <w:pPr>
        <w:pStyle w:val="BodyText"/>
      </w:pPr>
      <w:r>
        <w:t xml:space="preserve">Circular Economy</w:t>
      </w:r>
      <w:r>
        <w:t xml:space="preserve"> </w:t>
      </w:r>
      <w:r>
        <w:t xml:space="preserve">6.5/10</w:t>
      </w:r>
    </w:p>
    <w:p>
      <w:pPr>
        <w:pStyle w:val="BodyText"/>
      </w:pPr>
      <w:r>
        <w:t xml:space="preserve">Urban Integration</w:t>
      </w:r>
      <w:r>
        <w:t xml:space="preserve"> </w:t>
      </w:r>
      <w:r>
        <w:t xml:space="preserve">8.0/10</w:t>
      </w:r>
    </w:p>
    <w:bookmarkStart w:id="28" w:name="areas-for-improvement"/>
    <w:p>
      <w:pPr>
        <w:pStyle w:val="Heading3"/>
      </w:pPr>
      <w:r>
        <w:t xml:space="preserve">6.1. Areas for Improvement</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Architect</w:t>
      </w:r>
      <w:r>
        <w:t xml:space="preserve"> </w:t>
      </w:r>
      <w:r>
        <w:t xml:space="preserve">to enhance their practice in</w:t>
      </w:r>
      <w:r>
        <w:t xml:space="preserve"> </w:t>
      </w:r>
      <w:r>
        <w:rPr>
          <w:bCs/>
          <w:b/>
        </w:rPr>
        <w:t xml:space="preserve">Netherlands Amsterdam</w:t>
      </w:r>
      <w:r>
        <w:t xml:space="preserve">:</w:t>
      </w:r>
    </w:p>
    <w:p>
      <w:pPr>
        <w:numPr>
          <w:ilvl w:val="0"/>
          <w:numId w:val="1002"/>
        </w:numPr>
        <w:pStyle w:val="Compact"/>
      </w:pPr>
      <w:r>
        <w:rPr>
          <w:bCs/>
          <w:b/>
        </w:rPr>
        <w:t xml:space="preserve">Enhance Circular Design:</w:t>
      </w:r>
      <w:r>
        <w:t xml:space="preserve"> </w:t>
      </w:r>
      <w:r>
        <w:t xml:space="preserve">Move beyond energy efficiency to embrace full circularity. Incorporate timber construction where feasible and prioritize materials with high recycled content to align with Amsterdam's 2050 climate goals.</w:t>
      </w:r>
    </w:p>
    <w:p>
      <w:pPr>
        <w:numPr>
          <w:ilvl w:val="0"/>
          <w:numId w:val="1002"/>
        </w:numPr>
        <w:pStyle w:val="Compact"/>
      </w:pPr>
      <w:r>
        <w:rPr>
          <w:bCs/>
          <w:b/>
        </w:rPr>
        <w:t xml:space="preserve">Social Housing Integration:</w:t>
      </w:r>
      <w:r>
        <w:t xml:space="preserve"> </w:t>
      </w:r>
      <w:r>
        <w:t xml:space="preserve">Ensure that luxury developments include meaningful contributions to affordable housing stock, addressing the current housing crisis in Amsterdam.</w:t>
      </w:r>
    </w:p>
    <w:p>
      <w:pPr>
        <w:numPr>
          <w:ilvl w:val="0"/>
          <w:numId w:val="1002"/>
        </w:numPr>
        <w:pStyle w:val="Compact"/>
      </w:pPr>
      <w:r>
        <w:rPr>
          <w:bCs/>
          <w:b/>
        </w:rPr>
        <w:t xml:space="preserve">Refine Public Interfaces:</w:t>
      </w:r>
      <w:r>
        <w:t xml:space="preserve"> </w:t>
      </w:r>
      <w:r>
        <w:t xml:space="preserve">Soften the boundaries between buildings and the street to foster a more inclusive urban environment, typical of the best Dutch urbanism.</w:t>
      </w:r>
    </w:p>
    <w:bookmarkEnd w:id="28"/>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Architect</w:t>
      </w:r>
      <w:r>
        <w:t xml:space="preserve"> </w:t>
      </w:r>
      <w:r>
        <w:t xml:space="preserve">is a competent and valuable contributor to the built environment of</w:t>
      </w:r>
      <w:r>
        <w:t xml:space="preserve"> </w:t>
      </w:r>
      <w:r>
        <w:rPr>
          <w:bCs/>
          <w:b/>
        </w:rPr>
        <w:t xml:space="preserve">Netherlands Amsterdam</w:t>
      </w:r>
      <w:r>
        <w:t xml:space="preserve">. Their work demonstrates a strong technical foundation and a respectful approach to the city's unique character. By addressing the identified gaps in circular economy practices and social inclusivity, the architect can elevate their practice to the forefront of Dutch architectural excellence. The panel recommends continued monitoring of future projects to ensure these recommendations are implemented.</w:t>
      </w:r>
    </w:p>
    <w:bookmarkEnd w:id="30"/>
    <w:p>
      <w:pPr>
        <w:pStyle w:val="BodyText"/>
      </w:pPr>
      <w:r>
        <w:t xml:space="preserve">© 2023 Independent Architectural Review Board.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Amsterdam</dc:title>
  <dc:creator/>
  <dc:language>en</dc:language>
  <cp:keywords/>
  <dcterms:created xsi:type="dcterms:W3CDTF">2026-10-10T08:36:32Z</dcterms:created>
  <dcterms:modified xsi:type="dcterms:W3CDTF">2026-10-10T08:36:32Z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