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Architectural Design and Compliance Assessment</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Building Consent Authority (BCA) / Project Stakeholders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architectural design proposals for a mixed-use development located in the Auckland region of New Zealand. The primary objective of this review is to ensure that the Architect’s design intent aligns with the New Zealand Building Code (NZBC), the Auckland Unitary Plan, and best practices for sustainable urban development. The review focuses on structural integrity, fire safety, accessibility, and environmental performance, which are critical considerations for high-density developments in Auckland.</w:t>
      </w:r>
    </w:p>
    <w:p>
      <w:pPr>
        <w:pStyle w:val="BodyText"/>
      </w:pPr>
      <w:r>
        <w:t xml:space="preserve">The Architect has demonstrated a strong understanding of the local context, integrating Māori cultural values and responding to Auckland’s unique topography and climate. However, several areas require refinement to achieve full compliance and optimal performance. This report outlines the findings, recommendations, and necessary actions to ensure the project meets all regulatory and professional standards.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Compliance with the New Zealand Building Code (NZBC).</w:t>
      </w:r>
    </w:p>
    <w:p>
      <w:pPr>
        <w:numPr>
          <w:ilvl w:val="0"/>
          <w:numId w:val="1001"/>
        </w:numPr>
        <w:pStyle w:val="Compact"/>
      </w:pPr>
      <w:r>
        <w:t xml:space="preserve">Adherence to the Auckland Unitary Plan (Operative in Part).</w:t>
      </w:r>
    </w:p>
    <w:p>
      <w:pPr>
        <w:numPr>
          <w:ilvl w:val="0"/>
          <w:numId w:val="1001"/>
        </w:numPr>
        <w:pStyle w:val="Compact"/>
      </w:pPr>
      <w:r>
        <w:t xml:space="preserve">Assessment of fire safety and evacuation strategies.</w:t>
      </w:r>
    </w:p>
    <w:p>
      <w:pPr>
        <w:numPr>
          <w:ilvl w:val="0"/>
          <w:numId w:val="1001"/>
        </w:numPr>
        <w:pStyle w:val="Compact"/>
      </w:pPr>
      <w:r>
        <w:t xml:space="preserve">Evaluation of accessibility and inclusive design.</w:t>
      </w:r>
    </w:p>
    <w:p>
      <w:pPr>
        <w:numPr>
          <w:ilvl w:val="0"/>
          <w:numId w:val="1001"/>
        </w:numPr>
        <w:pStyle w:val="Compact"/>
      </w:pPr>
      <w:r>
        <w:t xml:space="preserve">Review of sustainability and energy efficiency measures.</w:t>
      </w:r>
    </w:p>
    <w:p>
      <w:pPr>
        <w:numPr>
          <w:ilvl w:val="0"/>
          <w:numId w:val="1001"/>
        </w:numPr>
        <w:pStyle w:val="Compact"/>
      </w:pPr>
      <w:r>
        <w:t xml:space="preserve">Analysis of structural and geotechnical considerations specific to Auckland’s volcanic soil conditions.</w:t>
      </w:r>
    </w:p>
    <w:bookmarkEnd w:id="22"/>
    <w:bookmarkStart w:id="23" w:name="Xc113718c6afef65782d5ee781b3355fc1318a8d"/>
    <w:p>
      <w:pPr>
        <w:pStyle w:val="Heading2"/>
      </w:pPr>
      <w:r>
        <w:t xml:space="preserve">3. Architectural Design and Contextual Integration</w:t>
      </w:r>
    </w:p>
    <w:p>
      <w:pPr>
        <w:pStyle w:val="FirstParagraph"/>
      </w:pPr>
      <w:r>
        <w:t xml:space="preserve">The Architect’s design proposal reflects a thoughtful response to the Auckland urban environment. The building’s massing and orientation have been carefully considered to maximize natural light and ventilation, which is essential for reducing energy consumption in New Zealand’s temperate climate. The use of local materials and sustainable construction methods aligns with the growing emphasis on environmental responsibility in Auckland’s building sector.</w:t>
      </w:r>
    </w:p>
    <w:p>
      <w:pPr>
        <w:pStyle w:val="BodyText"/>
      </w:pPr>
      <w:r>
        <w:t xml:space="preserve">Furthermore, the design incorporates elements that respect the cultural significance of the site, including references to local Māori heritage. This approach is commendable and aligns with the principles of Te Tiriti o Waitangi, which are increasingly important in New Zealand’s architectural practice. However, the report recommends further consultation with local iwi to ensure that the cultural integration is authentic and respectful.</w:t>
      </w:r>
    </w:p>
    <w:bookmarkEnd w:id="23"/>
    <w:bookmarkStart w:id="24" w:name="X4de672b5964532e4da59304a2f9f1b43cca7313"/>
    <w:p>
      <w:pPr>
        <w:pStyle w:val="Heading2"/>
      </w:pPr>
      <w:r>
        <w:t xml:space="preserve">4. Compliance with the New Zealand Building Code</w:t>
      </w:r>
    </w:p>
    <w:p>
      <w:pPr>
        <w:pStyle w:val="FirstParagraph"/>
      </w:pPr>
      <w:r>
        <w:t xml:space="preserve">The Architect’s design largely complies with the NZBC, but several areas require attention:</w:t>
      </w:r>
    </w:p>
    <w:p>
      <w:pPr>
        <w:numPr>
          <w:ilvl w:val="0"/>
          <w:numId w:val="1002"/>
        </w:numPr>
        <w:pStyle w:val="Compact"/>
      </w:pPr>
      <w:r>
        <w:rPr>
          <w:bCs/>
          <w:b/>
        </w:rPr>
        <w:t xml:space="preserve">Fire Safety (Clause C):</w:t>
      </w:r>
      <w:r>
        <w:t xml:space="preserve"> </w:t>
      </w:r>
      <w:r>
        <w:t xml:space="preserve">The proposed fire separation and evacuation routes are generally adequate, but additional smoke control measures are recommended for the basement levels to ensure safe evacuation in the event of a fire.</w:t>
      </w:r>
    </w:p>
    <w:p>
      <w:pPr>
        <w:numPr>
          <w:ilvl w:val="0"/>
          <w:numId w:val="1002"/>
        </w:numPr>
        <w:pStyle w:val="Compact"/>
      </w:pPr>
      <w:r>
        <w:rPr>
          <w:bCs/>
          <w:b/>
        </w:rPr>
        <w:t xml:space="preserve">Accessibility (Clause D1):</w:t>
      </w:r>
      <w:r>
        <w:t xml:space="preserve"> </w:t>
      </w:r>
      <w:r>
        <w:t xml:space="preserve">While the design includes accessible pathways and facilities, the report identifies inconsistencies in the provision of tactile indicators and signage, which must be rectified to meet NZBC requirements.</w:t>
      </w:r>
    </w:p>
    <w:p>
      <w:pPr>
        <w:numPr>
          <w:ilvl w:val="0"/>
          <w:numId w:val="1002"/>
        </w:numPr>
        <w:pStyle w:val="Compact"/>
      </w:pPr>
      <w:r>
        <w:rPr>
          <w:bCs/>
          <w:b/>
        </w:rPr>
        <w:t xml:space="preserve">Structural Integrity (Clause B2):</w:t>
      </w:r>
      <w:r>
        <w:t xml:space="preserve"> </w:t>
      </w:r>
      <w:r>
        <w:t xml:space="preserve">Given Auckland’s seismic activity, the structural design must be rigorously assessed to ensure it can withstand earthquake forces. The report recommends a detailed seismic analysis by a qualified structural engineer.</w:t>
      </w:r>
    </w:p>
    <w:bookmarkEnd w:id="24"/>
    <w:bookmarkStart w:id="25" w:name="X21b9cf0ed2648f2ed3456d78209be72e57d88e3"/>
    <w:p>
      <w:pPr>
        <w:pStyle w:val="Heading2"/>
      </w:pPr>
      <w:r>
        <w:t xml:space="preserve">5. Sustainability and Environmental Performance</w:t>
      </w:r>
    </w:p>
    <w:p>
      <w:pPr>
        <w:pStyle w:val="FirstParagraph"/>
      </w:pPr>
      <w:r>
        <w:t xml:space="preserve">The Architect has incorporated several sustainable design features, including solar panels, rainwater harvesting, and high-performance insulation. These measures contribute to reducing the building’s carbon footprint and align with New Zealand’s climate change goals. However, the report suggests enhancing the building’s energy efficiency by integrating smart building technologies and optimizing the HVAC system design.</w:t>
      </w:r>
    </w:p>
    <w:p>
      <w:pPr>
        <w:pStyle w:val="BodyText"/>
      </w:pPr>
      <w:r>
        <w:t xml:space="preserve">Additionally, the use of low-emission materials and construction practices should be prioritized to minimize the environmental impact of the project. The Architect is encouraged to pursue certification under the Green Star rating system, which is widely recognized in New Zealand for sustainable building design.</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Conduct further consultation with local iwi to enhance the cultural integration of the design.</w:t>
      </w:r>
    </w:p>
    <w:p>
      <w:pPr>
        <w:numPr>
          <w:ilvl w:val="0"/>
          <w:numId w:val="1003"/>
        </w:numPr>
        <w:pStyle w:val="Compact"/>
      </w:pPr>
      <w:r>
        <w:t xml:space="preserve">Implement additional smoke control measures in the basement levels to improve fire safety.</w:t>
      </w:r>
    </w:p>
    <w:p>
      <w:pPr>
        <w:numPr>
          <w:ilvl w:val="0"/>
          <w:numId w:val="1003"/>
        </w:numPr>
        <w:pStyle w:val="Compact"/>
      </w:pPr>
      <w:r>
        <w:t xml:space="preserve">Rectify inconsistencies in accessibility features to ensure full compliance with NZBC Clause D1.</w:t>
      </w:r>
    </w:p>
    <w:p>
      <w:pPr>
        <w:numPr>
          <w:ilvl w:val="0"/>
          <w:numId w:val="1003"/>
        </w:numPr>
        <w:pStyle w:val="Compact"/>
      </w:pPr>
      <w:r>
        <w:t xml:space="preserve">Perform a detailed seismic analysis to verify the structural integrity of the building.</w:t>
      </w:r>
    </w:p>
    <w:p>
      <w:pPr>
        <w:numPr>
          <w:ilvl w:val="0"/>
          <w:numId w:val="1003"/>
        </w:numPr>
        <w:pStyle w:val="Compact"/>
      </w:pPr>
      <w:r>
        <w:t xml:space="preserve">Enhance energy efficiency through the integration of smart building technologies and optimized HVAC systems.</w:t>
      </w:r>
    </w:p>
    <w:p>
      <w:pPr>
        <w:numPr>
          <w:ilvl w:val="0"/>
          <w:numId w:val="1003"/>
        </w:numPr>
        <w:pStyle w:val="Compact"/>
      </w:pPr>
      <w:r>
        <w:t xml:space="preserve">Pursue Green Star certification to demonstrate the project’s commitment to sustainability.</w:t>
      </w:r>
    </w:p>
    <w:bookmarkEnd w:id="26"/>
    <w:bookmarkStart w:id="27" w:name="conclusion"/>
    <w:p>
      <w:pPr>
        <w:pStyle w:val="Heading2"/>
      </w:pPr>
      <w:r>
        <w:t xml:space="preserve">7. Conclusion</w:t>
      </w:r>
    </w:p>
    <w:p>
      <w:pPr>
        <w:pStyle w:val="FirstParagraph"/>
      </w:pPr>
      <w:r>
        <w:t xml:space="preserve">This Peer Review Report provides a comprehensive assessment of the Architect’s design proposal for the Auckland development. While the design demonstrates a strong understanding of the local context and regulatory requirements, several areas require refinement to ensure full compliance and optimal performance. By addressing the recommendations outlined in this report, the Architect can deliver a building that not only meets the needs of its users but also contributes positively to the Auckland community and environment.</w:t>
      </w:r>
    </w:p>
    <w:bookmarkEnd w:id="27"/>
    <w:p>
      <w:pPr>
        <w:pStyle w:val="BodyText"/>
      </w:pPr>
      <w:r>
        <w:rPr>
          <w:bCs/>
          <w:b/>
        </w:rPr>
        <w:t xml:space="preserve">Prepared by:</w:t>
      </w:r>
    </w:p>
    <w:p>
      <w:pPr>
        <w:pStyle w:val="BodyText"/>
      </w:pPr>
      <w:r>
        <w:t xml:space="preserve">John Doe, MIAENZ, FNZIE</w:t>
      </w:r>
    </w:p>
    <w:p>
      <w:pPr>
        <w:pStyle w:val="BodyText"/>
      </w:pPr>
      <w:r>
        <w:t xml:space="preserve">Senior Architectural Consultant</w:t>
      </w:r>
    </w:p>
    <w:p>
      <w:pPr>
        <w:pStyle w:val="BodyText"/>
      </w:pPr>
      <w:r>
        <w:t xml:space="preserve">Peer Review Specialist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New Zealand Auckland</dc:title>
  <dc:creator/>
  <dc:language>en</dc:language>
  <cp:keywords/>
  <dcterms:created xsi:type="dcterms:W3CDTF">2026-10-10T08:14:44Z</dcterms:created>
  <dcterms:modified xsi:type="dcterms:W3CDTF">2026-10-10T08:14:44Z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