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Architectural</w:t>
      </w:r>
      <w:r>
        <w:t xml:space="preserve"> </w:t>
      </w:r>
      <w:r>
        <w:t xml:space="preserve">Practice</w:t>
      </w:r>
      <w:r>
        <w:t xml:space="preserve"> </w:t>
      </w:r>
      <w:r>
        <w:t xml:space="preserve">in</w:t>
      </w:r>
      <w:r>
        <w:t xml:space="preserve"> </w:t>
      </w:r>
      <w:r>
        <w:t xml:space="preserve">Lima,</w:t>
      </w:r>
      <w:r>
        <w:t xml:space="preserve"> </w:t>
      </w:r>
      <w:r>
        <w:t xml:space="preserve">Peru</w:t>
      </w:r>
    </w:p>
    <w:bookmarkStart w:id="29" w:name="X6230639f022832fef0f0e671aaa35c2ba94a278"/>
    <w:p>
      <w:pPr>
        <w:pStyle w:val="Heading1"/>
      </w:pPr>
      <w:r>
        <w:t xml:space="preserve">Peer Review Report: Architectural Practice</w:t>
      </w:r>
    </w:p>
    <w:p>
      <w:pPr>
        <w:pStyle w:val="FirstParagraph"/>
      </w:pPr>
      <w:r>
        <w:t xml:space="preserve">Subject of Review</w:t>
      </w:r>
    </w:p>
    <w:p>
      <w:pPr>
        <w:pStyle w:val="BodyText"/>
      </w:pPr>
      <w:r>
        <w:t xml:space="preserve">Professional Architect</w:t>
      </w:r>
    </w:p>
    <w:p>
      <w:pPr>
        <w:pStyle w:val="BodyText"/>
      </w:pPr>
      <w:r>
        <w:t xml:space="preserve">Location of Practice</w:t>
      </w:r>
    </w:p>
    <w:p>
      <w:pPr>
        <w:pStyle w:val="BodyText"/>
      </w:pPr>
      <w:r>
        <w:t xml:space="preserve">Lima, Peru</w:t>
      </w:r>
    </w:p>
    <w:p>
      <w:pPr>
        <w:pStyle w:val="BodyText"/>
      </w:pPr>
      <w:r>
        <w:t xml:space="preserve">Report Date</w:t>
      </w:r>
    </w:p>
    <w:p>
      <w:pPr>
        <w:pStyle w:val="BodyText"/>
      </w:pPr>
      <w:r>
        <w:t xml:space="preserve">October 24, 2023</w:t>
      </w:r>
    </w:p>
    <w:p>
      <w:pPr>
        <w:pStyle w:val="BodyText"/>
      </w:pPr>
      <w:r>
        <w:t xml:space="preserve">Review Committee</w:t>
      </w:r>
    </w:p>
    <w:p>
      <w:pPr>
        <w:pStyle w:val="BodyText"/>
      </w:pPr>
      <w:r>
        <w:t xml:space="preserve">Colegio de Arquitectos del Perú (CAP)</w:t>
      </w:r>
    </w:p>
    <w:bookmarkStart w:id="20" w:name="executive-summary"/>
    <w:p>
      <w:pPr>
        <w:pStyle w:val="Heading2"/>
      </w:pPr>
      <w:r>
        <w:t xml:space="preserve">1. Executive Summary</w:t>
      </w:r>
    </w:p>
    <w:p>
      <w:pPr>
        <w:pStyle w:val="FirstParagraph"/>
      </w:pPr>
      <w:r>
        <w:t xml:space="preserve">This Peer Review Report serves as a comprehensive evaluation of the professional practice of an Architect operating within the metropolitan area of Lima, Peru. The objective of this review is to assess the quality, integrity, and technical competence of the architectural services provided, ensuring strict adherence to the regulations established by the Colegio de Arquitectos del Perú (CAP) and the local municipal ordinances of Lima. The review focuses on the architect's ability to navigate the unique urban, seismic, and cultural challenges inherent to the Peruvian capital.</w:t>
      </w:r>
    </w:p>
    <w:bookmarkEnd w:id="20"/>
    <w:bookmarkStart w:id="21" w:name="scope-of-the-review"/>
    <w:p>
      <w:pPr>
        <w:pStyle w:val="Heading2"/>
      </w:pPr>
      <w:r>
        <w:t xml:space="preserve">2. Scope of the Review</w:t>
      </w:r>
    </w:p>
    <w:p>
      <w:pPr>
        <w:pStyle w:val="FirstParagraph"/>
      </w:pPr>
      <w:r>
        <w:t xml:space="preserve">The scope of this evaluation encompasses a detailed analysis of three major projects completed by the Architect within the last twenty-four months in Lima. The review examines the design process, technical documentation, regulatory compliance, and the final execution of the built environment. Special attention is given to the architect's adherence to the "Reglamento Nacional de Edificaciones" (RNE), which is the governing code for construction in Peru.</w:t>
      </w:r>
    </w:p>
    <w:bookmarkEnd w:id="21"/>
    <w:bookmarkStart w:id="22" w:name="technical-competence-and-seismic-design"/>
    <w:p>
      <w:pPr>
        <w:pStyle w:val="Heading2"/>
      </w:pPr>
      <w:r>
        <w:t xml:space="preserve">3. Technical Competence and Seismic Design</w:t>
      </w:r>
    </w:p>
    <w:p>
      <w:pPr>
        <w:pStyle w:val="FirstParagraph"/>
      </w:pPr>
      <w:r>
        <w:t xml:space="preserve">Given that Lima is located in a highly active seismic zone, the primary criterion for this peer review is the Architect's proficiency in seismic-resistant design. The review confirms that the Architect demonstrates a robust understanding of structural dynamics and load distribution. The submitted plans show a rigorous application of the NTE E.030 (Structural Loads) and NTE E.030 (Seismic Design) standards.</w:t>
      </w:r>
    </w:p>
    <w:p>
      <w:pPr>
        <w:pStyle w:val="BodyText"/>
      </w:pPr>
      <w:r>
        <w:t xml:space="preserve">The Architect has successfully integrated reinforced concrete framing systems that meet the ductility requirements necessary for high-rise residential and commercial buildings in the districts of Miraflores and San Isidro. The coordination between the architectural design and the structural engineering team was exemplary, ensuring that aesthetic goals did not compromise the structural integrity required by the Peruvian context.</w:t>
      </w:r>
    </w:p>
    <w:bookmarkEnd w:id="22"/>
    <w:bookmarkStart w:id="23" w:name="regulatory-compliance-and-urban-planning"/>
    <w:p>
      <w:pPr>
        <w:pStyle w:val="Heading2"/>
      </w:pPr>
      <w:r>
        <w:t xml:space="preserve">4. Regulatory Compliance and Urban Planning</w:t>
      </w:r>
    </w:p>
    <w:p>
      <w:pPr>
        <w:pStyle w:val="FirstParagraph"/>
      </w:pPr>
      <w:r>
        <w:t xml:space="preserve">A critical aspect of practicing as an Architect in Lima is navigating the complex web of municipal regulations. This review assesses the Architect's compliance with the "Plan Regulador" of the respective districts. The findings indicate that the Architect maintains a high standard of compliance regarding setbacks, floor area ratios (FAR), and height restrictions.</w:t>
      </w:r>
    </w:p>
    <w:p>
      <w:pPr>
        <w:pStyle w:val="BodyText"/>
      </w:pPr>
      <w:r>
        <w:t xml:space="preserve">Furthermore, the review highlights the Architect's diligence in obtaining the necessary "Licencia de Edificación" (Building Permit) from the Municipalidad Metropolitana de Lima or the corresponding district municipality. The documentation provided was complete, accurate, and submitted in a timely manner, reflecting a professional respect for the legal framework governing urban development in Peru.</w:t>
      </w:r>
    </w:p>
    <w:bookmarkEnd w:id="23"/>
    <w:bookmarkStart w:id="24" w:name="X469dc3f3d08761fa163ef57f0de51ae06926a08"/>
    <w:p>
      <w:pPr>
        <w:pStyle w:val="Heading2"/>
      </w:pPr>
      <w:r>
        <w:t xml:space="preserve">5. Environmental Sustainability and Climate Adaptation</w:t>
      </w:r>
    </w:p>
    <w:p>
      <w:pPr>
        <w:pStyle w:val="FirstParagraph"/>
      </w:pPr>
      <w:r>
        <w:t xml:space="preserve">Lima presents a unique climatic challenge, characterized by high humidity and limited rainfall for much of the year, followed by intense coastal fog ("garúa"). This Peer Review Report evaluates how the Architect addresses these environmental factors. The Architect has shown commendable initiative in incorporating passive design strategies.</w:t>
      </w:r>
    </w:p>
    <w:p>
      <w:pPr>
        <w:pStyle w:val="BodyText"/>
      </w:pPr>
      <w:r>
        <w:t xml:space="preserve">The use of cross-ventilation techniques to mitigate humidity and the selection of materials resistant to coastal corrosion were noted as positive attributes. Additionally, the integration of green spaces and vertical gardens in the reviewed projects contributes to the urban biodiversity of Lima, aligning with the growing emphasis on sustainable architecture in Peru. The Architect is encouraged to further explore LEED certification standards to enhance the environmental performance of future projects.</w:t>
      </w:r>
    </w:p>
    <w:bookmarkEnd w:id="24"/>
    <w:bookmarkStart w:id="25" w:name="cultural-context-and-aesthetic-quality"/>
    <w:p>
      <w:pPr>
        <w:pStyle w:val="Heading2"/>
      </w:pPr>
      <w:r>
        <w:t xml:space="preserve">6. Cultural Context and Aesthetic Quality</w:t>
      </w:r>
    </w:p>
    <w:p>
      <w:pPr>
        <w:pStyle w:val="FirstParagraph"/>
      </w:pPr>
      <w:r>
        <w:t xml:space="preserve">Architecture in Lima is a dialogue between the colonial past and a rapidly modernizing future. This review examines whether the Architect's work respects the cultural identity of the city. The Architect has successfully avoided generic international styles, instead opting for designs that resonate with the local context.</w:t>
      </w:r>
    </w:p>
    <w:p>
      <w:pPr>
        <w:pStyle w:val="BodyText"/>
      </w:pPr>
      <w:r>
        <w:t xml:space="preserve">In projects located near historic centers, the Architect demonstrated sensitivity to the scale and materiality of surrounding heritage structures. The use of local materials, such as Peruvian granite and adobe-inspired finishes, adds a layer of authenticity to the designs. This approach not only enhances the aesthetic quality but also fosters a sense of place for the residents of Lima.</w:t>
      </w:r>
    </w:p>
    <w:bookmarkEnd w:id="25"/>
    <w:bookmarkStart w:id="26" w:name="professional-ethics-and-client-relations"/>
    <w:p>
      <w:pPr>
        <w:pStyle w:val="Heading2"/>
      </w:pPr>
      <w:r>
        <w:t xml:space="preserve">7. Professional Ethics and Client Relations</w:t>
      </w:r>
    </w:p>
    <w:p>
      <w:pPr>
        <w:pStyle w:val="FirstParagraph"/>
      </w:pPr>
      <w:r>
        <w:t xml:space="preserve">The ethical conduct of the Architect was evaluated based on the Code of Ethics of the Colegio de Arquitectos del Perú. The review found no evidence of unethical behavior, conflicts of interest, or negligence. The Architect maintains transparent communication with clients, contractors, and consultants.</w:t>
      </w:r>
    </w:p>
    <w:p>
      <w:pPr>
        <w:pStyle w:val="BodyText"/>
      </w:pPr>
      <w:r>
        <w:t xml:space="preserve">Feedback from clients indicates a high level of satisfaction with the Architect's ability to manage project timelines and budgets. The Architect's commitment to delivering high-quality work while respecting the financial constraints of the client is a testament to their professional maturity.</w:t>
      </w:r>
    </w:p>
    <w:bookmarkEnd w:id="26"/>
    <w:bookmarkStart w:id="27" w:name="recommendations"/>
    <w:p>
      <w:pPr>
        <w:pStyle w:val="Heading2"/>
      </w:pPr>
      <w:r>
        <w:t xml:space="preserve">8. Recommendations</w:t>
      </w:r>
    </w:p>
    <w:p>
      <w:pPr>
        <w:pStyle w:val="FirstParagraph"/>
      </w:pPr>
      <w:r>
        <w:t xml:space="preserve">Based on the findings of this Peer Review Report, the following recommendations are made:</w:t>
      </w:r>
    </w:p>
    <w:p>
      <w:pPr>
        <w:numPr>
          <w:ilvl w:val="0"/>
          <w:numId w:val="1001"/>
        </w:numPr>
        <w:pStyle w:val="Compact"/>
      </w:pPr>
      <w:r>
        <w:rPr>
          <w:bCs/>
          <w:b/>
        </w:rPr>
        <w:t xml:space="preserve">Enhance Digital Integration:</w:t>
      </w:r>
      <w:r>
        <w:t xml:space="preserve"> </w:t>
      </w:r>
      <w:r>
        <w:t xml:space="preserve">The Architect should further adopt Building Information Modeling (BIM) technologies to improve coordination and efficiency in complex projects.</w:t>
      </w:r>
    </w:p>
    <w:p>
      <w:pPr>
        <w:numPr>
          <w:ilvl w:val="0"/>
          <w:numId w:val="1001"/>
        </w:numPr>
        <w:pStyle w:val="Compact"/>
      </w:pPr>
      <w:r>
        <w:rPr>
          <w:bCs/>
          <w:b/>
        </w:rPr>
        <w:t xml:space="preserve">Focus on Social Housing:</w:t>
      </w:r>
      <w:r>
        <w:t xml:space="preserve"> </w:t>
      </w:r>
      <w:r>
        <w:t xml:space="preserve">Given the housing deficit in Lima, the Architect is encouraged to engage in more social housing projects, applying innovative design solutions to affordable construction.</w:t>
      </w:r>
    </w:p>
    <w:p>
      <w:pPr>
        <w:numPr>
          <w:ilvl w:val="0"/>
          <w:numId w:val="1001"/>
        </w:numPr>
        <w:pStyle w:val="Compact"/>
      </w:pPr>
      <w:r>
        <w:rPr>
          <w:bCs/>
          <w:b/>
        </w:rPr>
        <w:t xml:space="preserve">Continuous Education:</w:t>
      </w:r>
      <w:r>
        <w:t xml:space="preserve"> </w:t>
      </w:r>
      <w:r>
        <w:t xml:space="preserve">Participation in workshops regarding the latest updates to the RNE and sustainable building practices is highly recommended.</w:t>
      </w:r>
    </w:p>
    <w:bookmarkEnd w:id="27"/>
    <w:bookmarkStart w:id="28" w:name="conclusion"/>
    <w:p>
      <w:pPr>
        <w:pStyle w:val="Heading2"/>
      </w:pPr>
      <w:r>
        <w:t xml:space="preserve">9. Conclusion</w:t>
      </w:r>
    </w:p>
    <w:p>
      <w:pPr>
        <w:pStyle w:val="FirstParagraph"/>
      </w:pPr>
      <w:r>
        <w:t xml:space="preserve">In conclusion, this Peer Review Report affirms that the Architect under review possesses the technical skills, ethical standards, and creative vision necessary to practice at a high level in Lima, Peru. The Architect's work contributes positively to the urban fabric of the city, adhering to safety regulations while embracing the cultural and environmental nuances of the region. The review committee recommends the continuation of professional practice with the noted recommendations for further development.</w:t>
      </w:r>
    </w:p>
    <w:p>
      <w:pPr>
        <w:pStyle w:val="BodyText"/>
      </w:pPr>
      <w:r>
        <w:rPr>
          <w:bCs/>
          <w:b/>
        </w:rPr>
        <w:t xml:space="preserve">Lead Reviewer</w:t>
      </w:r>
      <w:r>
        <w:br/>
      </w:r>
      <w:r>
        <w:t xml:space="preserve">Senior Architect, CAP</w:t>
      </w:r>
    </w:p>
    <w:p>
      <w:pPr>
        <w:pStyle w:val="BodyText"/>
      </w:pPr>
      <w:r>
        <w:rPr>
          <w:bCs/>
          <w:b/>
        </w:rPr>
        <w:t xml:space="preserve">Committee Chair</w:t>
      </w:r>
      <w:r>
        <w:br/>
      </w:r>
      <w:r>
        <w:t xml:space="preserve">Colegio de Arquitectos del Perú</w:t>
      </w:r>
    </w:p>
    <w:p>
      <w:pPr>
        <w:pStyle w:val="BodyText"/>
      </w:pPr>
      <w:r>
        <w:t xml:space="preserve">This document is an official Peer Review Report generated for professional evaluation purposes within the jurisdiction of Lima, Peru.</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Architectural Practice in Lima, Peru</dc:title>
  <dc:creator/>
  <dc:language>en</dc:language>
  <cp:keywords/>
  <dcterms:created xsi:type="dcterms:W3CDTF">2026-10-10T06:45:37Z</dcterms:created>
  <dcterms:modified xsi:type="dcterms:W3CDTF">2026-10-10T06:45:37Z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