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Philippines</w:t>
      </w:r>
      <w:r>
        <w:t xml:space="preserve"> </w:t>
      </w:r>
      <w:r>
        <w:t xml:space="preserve">Manila</w:t>
      </w:r>
    </w:p>
    <w:bookmarkStart w:id="26" w:name="X6230639f022832fef0f0e671aaa35c2ba94a278"/>
    <w:p>
      <w:pPr>
        <w:pStyle w:val="Heading1"/>
      </w:pPr>
      <w:r>
        <w:t xml:space="preserve">Peer Review Report: Architectural Practice</w:t>
      </w:r>
    </w:p>
    <w:p>
      <w:pPr>
        <w:pStyle w:val="FirstParagraph"/>
      </w:pPr>
      <w:r>
        <w:rPr>
          <w:bCs/>
          <w:b/>
        </w:rPr>
        <w:t xml:space="preserve">Subject:</w:t>
      </w:r>
      <w:r>
        <w:t xml:space="preserve"> </w:t>
      </w:r>
      <w:r>
        <w:t xml:space="preserve">Professional Competence and Project Compliance</w:t>
      </w:r>
      <w:r>
        <w:br/>
      </w:r>
      <w:r>
        <w:rPr>
          <w:bCs/>
          <w:b/>
        </w:rPr>
        <w:t xml:space="preserve">Location:</w:t>
      </w:r>
      <w:r>
        <w:t xml:space="preserve"> </w:t>
      </w:r>
      <w:r>
        <w:t xml:space="preserve">Philippines Manila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Mandatory Professional Peer Review</w:t>
      </w:r>
      <w:r>
        <w:br/>
      </w:r>
      <w:r>
        <w:rPr>
          <w:bCs/>
          <w:b/>
        </w:rPr>
        <w:t xml:space="preserve">Reference:</w:t>
      </w:r>
      <w:r>
        <w:t xml:space="preserve"> </w:t>
      </w:r>
      <w:r>
        <w:t xml:space="preserve">PRC Resolution No. 2023-AR</w:t>
      </w:r>
    </w:p>
    <w:bookmarkStart w:id="20" w:name="introduction-and-scope"/>
    <w:p>
      <w:pPr>
        <w:pStyle w:val="Heading2"/>
      </w:pPr>
      <w:r>
        <w:t xml:space="preserve">1. Introduction and Scope</w:t>
      </w:r>
    </w:p>
    <w:p>
      <w:pPr>
        <w:pStyle w:val="FirstParagraph"/>
      </w:pPr>
      <w:r>
        <w:t xml:space="preserve">This Peer Review Report is submitted in accordance with the regulations set forth by the Professional Regulation Commission (PRC) and the Board of Architecture in the Philippines. The primary objective of this review is to evaluate the professional competence, ethical standing, and technical proficiency of the Architect under review. This document specifically addresses the complexities of practicing architecture within the unique urban, climatic, and regulatory landscape of Philippines Manila.</w:t>
      </w:r>
    </w:p>
    <w:p>
      <w:pPr>
        <w:pStyle w:val="BodyText"/>
      </w:pPr>
      <w:r>
        <w:t xml:space="preserve">The review encompasses a comprehensive analysis of recent projects executed within the National Capital Region (NCR). It assesses the Architect's ability to navigate the stringent requirements of the National Building Code of the Philippines (PD 1096), the Urban Development and Housing Act (RA 7279), and the specific zoning ordinances of the City of Manila and surrounding municipalities. The scope includes an evaluation of design integrity, structural safety considerations, environmental sustainability, and adherence to the Code of Ethics for Architects.</w:t>
      </w:r>
    </w:p>
    <w:bookmarkEnd w:id="20"/>
    <w:bookmarkStart w:id="21" w:name="Xbc181f354929b22a97652cb99d03924d55513e5"/>
    <w:p>
      <w:pPr>
        <w:pStyle w:val="Heading2"/>
      </w:pPr>
      <w:r>
        <w:t xml:space="preserve">2. Contextual Analysis: The Philippines Manila Environment</w:t>
      </w:r>
    </w:p>
    <w:p>
      <w:pPr>
        <w:pStyle w:val="FirstParagraph"/>
      </w:pPr>
      <w:r>
        <w:t xml:space="preserve">Practicing as an Architect in Philippines Manila presents distinct challenges that require specialized expertise. The review panel has noted the necessity for the Architect to demonstrate a profound understanding of the local context. This includes the high-density urban fabric, the prevalence of informal settlements, and the critical need for disaster-resilient design given the region's susceptibility to typhoons and seismic activity.</w:t>
      </w:r>
    </w:p>
    <w:p>
      <w:pPr>
        <w:pStyle w:val="BodyText"/>
      </w:pPr>
      <w:r>
        <w:t xml:space="preserve">The report highlights the Architect's approach to tropical architecture. In the humid and hot climate of Manila, passive cooling strategies, proper ventilation, and shading devices are not merely aesthetic choices but functional necessities. The reviewed portfolio demonstrates a commendable effort to integrate bioclimatic design principles, ensuring that structures are energy-efficient and comfortable for occupants without excessive reliance on mechanical systems.</w:t>
      </w:r>
    </w:p>
    <w:bookmarkEnd w:id="21"/>
    <w:bookmarkStart w:id="22" w:name="technical-competence-and-code-compliance"/>
    <w:p>
      <w:pPr>
        <w:pStyle w:val="Heading2"/>
      </w:pPr>
      <w:r>
        <w:t xml:space="preserve">3. Technical Competence and Code Compliance</w:t>
      </w:r>
    </w:p>
    <w:p>
      <w:pPr>
        <w:pStyle w:val="FirstParagraph"/>
      </w:pPr>
      <w:r>
        <w:t xml:space="preserve">A central pillar of this Peer Review Report is the assessment of technical compliance. The Architect has been evaluated on their strict adherence to the National Building Code of the Philippines. The review confirms that the Architect consistently produces construction documents that meet the minimum standards for structural integrity, fire safety, and accessibility as mandated by the Accessibility Law (BP 344).</w:t>
      </w:r>
    </w:p>
    <w:p>
      <w:pPr>
        <w:pStyle w:val="BodyText"/>
      </w:pPr>
      <w:r>
        <w:t xml:space="preserve">Specific attention was given to the Architect's handling of land use regulations in Manila. The complexity of lot subdivisions, easements, and setbacks in the historic and congested areas of the city requires meticulous planning. The Architect has demonstrated proficiency in coordinating with local government units (LGUs) and securing the necessary permits, including the Building Permit and Occupancy Permit, without compromising design intent or safety standards.</w:t>
      </w:r>
    </w:p>
    <w:bookmarkEnd w:id="22"/>
    <w:bookmarkStart w:id="23" w:name="project-evaluation-and-design-quality"/>
    <w:p>
      <w:pPr>
        <w:pStyle w:val="Heading2"/>
      </w:pPr>
      <w:r>
        <w:t xml:space="preserve">4. Project Evaluation and Design Quality</w:t>
      </w:r>
    </w:p>
    <w:p>
      <w:pPr>
        <w:pStyle w:val="FirstParagraph"/>
      </w:pPr>
      <w:r>
        <w:t xml:space="preserve">The review panel examined three key projects located in the Philippines Manila area. These projects ranged from mixed-use commercial developments to residential high-rises. The Architect's ability to balance aesthetic innovation with functional utility was a key focus.</w:t>
      </w:r>
    </w:p>
    <w:p>
      <w:pPr>
        <w:pStyle w:val="BodyText"/>
      </w:pPr>
      <w:r>
        <w:t xml:space="preserve">In the commercial sector, the Architect successfully integrated modern architectural language with local cultural motifs, creating a sense of place that resonates with the Filipino identity. The use of locally sourced materials was noted as a positive practice, contributing to the local economy and reducing the carbon footprint associated with transportation. Furthermore, the Architect's designs show a clear consideration for the social dynamics of Manila, incorporating communal spaces that foster interaction among residents and users.</w:t>
      </w:r>
    </w:p>
    <w:bookmarkEnd w:id="23"/>
    <w:bookmarkStart w:id="24" w:name="X4ce211acb8b02978b825403f312638d11fa1afd"/>
    <w:p>
      <w:pPr>
        <w:pStyle w:val="Heading2"/>
      </w:pPr>
      <w:r>
        <w:t xml:space="preserve">5. Ethical Standards and Professional Conduct</w:t>
      </w:r>
    </w:p>
    <w:p>
      <w:pPr>
        <w:pStyle w:val="FirstParagraph"/>
      </w:pPr>
      <w:r>
        <w:t xml:space="preserve">Upholding the highest ethical standards is paramount for any licensed Architect in the Philippines. This Peer Review Report confirms that the Architect under review has maintained integrity in all professional dealings. There were no findings of conflict of interest, bribery, or unethical collaboration with contractors or suppliers. The Architect has consistently acted in the best interest of the public, prioritizing safety and welfare over client demands that might compromise structural or environmental standards.</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the Peer Review Panel concludes that the Architect possesses the requisite skills, knowledge, and ethical grounding to practice in the Philippines Manila. The Architect demonstrates a strong commitment to improving the built environment of the National Capital Region.</w:t>
      </w:r>
    </w:p>
    <w:p>
      <w:pPr>
        <w:pStyle w:val="BodyText"/>
      </w:pPr>
      <w:r>
        <w:t xml:space="preserve">However, the panel recommends further emphasis on sustainable building certifications, such as the Green Building Council of the Philippines (GBCP) standards. As Manila continues to urbanize, the role of the Architect in mitigating environmental impact becomes increasingly critical. Continued professional development in green technologies and resilient design is strongly advised.</w:t>
      </w:r>
    </w:p>
    <w:p>
      <w:pPr>
        <w:pStyle w:val="BodyText"/>
      </w:pPr>
      <w:r>
        <w:t xml:space="preserve">This Peer Review Report serves as an official record of the Architect's professional standing. It affirms their capability to contribute positively to the architectural landscape of the Philippines Manila, ensuring that future developments are safe, sustainable, and culturally relevant.</w:t>
      </w:r>
    </w:p>
    <w:p>
      <w:pPr>
        <w:pStyle w:val="BodyText"/>
      </w:pPr>
      <w:r>
        <w:rPr>
          <w:bCs/>
          <w:b/>
        </w:rPr>
        <w:t xml:space="preserve">Lead Reviewer</w:t>
      </w:r>
      <w:r>
        <w:br/>
      </w:r>
      <w:r>
        <w:t xml:space="preserve">Licensed Architect</w:t>
      </w:r>
      <w:r>
        <w:br/>
      </w:r>
      <w:r>
        <w:t xml:space="preserve">Board of Architecture</w:t>
      </w:r>
    </w:p>
    <w:p>
      <w:pPr>
        <w:pStyle w:val="BodyText"/>
      </w:pPr>
      <w:r>
        <w:rPr>
          <w:bCs/>
          <w:b/>
        </w:rPr>
        <w:t xml:space="preserve">Subject Architect</w:t>
      </w:r>
      <w:r>
        <w:br/>
      </w:r>
      <w:r>
        <w:t xml:space="preserve">License No. [Insert Number]</w:t>
      </w:r>
      <w:r>
        <w:br/>
      </w:r>
      <w:r>
        <w:t xml:space="preserve">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Philippines Manila</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