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Qatar</w:t>
      </w:r>
      <w:r>
        <w:t xml:space="preserve"> </w:t>
      </w:r>
      <w:r>
        <w:t xml:space="preserve">Doha</w:t>
      </w:r>
    </w:p>
    <w:bookmarkStart w:id="26" w:name="X399082d334df5f08ccef669cc9e99768b42c885"/>
    <w:p>
      <w:pPr>
        <w:pStyle w:val="Heading1"/>
      </w:pPr>
      <w:r>
        <w:t xml:space="preserve">Peer Review Report: Architectural Design and Compliance</w:t>
      </w:r>
    </w:p>
    <w:p>
      <w:pPr>
        <w:pStyle w:val="FirstParagraph"/>
      </w:pPr>
      <w:r>
        <w:rPr>
          <w:bCs/>
          <w:b/>
        </w:rPr>
        <w:t xml:space="preserve">Project Location:</w:t>
      </w:r>
      <w:r>
        <w:t xml:space="preserve"> </w:t>
      </w:r>
      <w:r>
        <w:t xml:space="preserve">Doha, Qatar</w:t>
      </w:r>
    </w:p>
    <w:p>
      <w:pPr>
        <w:pStyle w:val="BodyText"/>
      </w:pPr>
      <w:r>
        <w:rPr>
          <w:bCs/>
          <w:b/>
        </w:rPr>
        <w:t xml:space="preserve">Review Date:</w:t>
      </w:r>
      <w:r>
        <w:t xml:space="preserve"> </w:t>
      </w:r>
      <w:r>
        <w:t xml:space="preserve">October 24, 2023</w:t>
      </w:r>
    </w:p>
    <w:p>
      <w:pPr>
        <w:pStyle w:val="BodyText"/>
      </w:pPr>
      <w:r>
        <w:rPr>
          <w:bCs/>
          <w:b/>
        </w:rPr>
        <w:t xml:space="preserve">Subject:</w:t>
      </w:r>
      <w:r>
        <w:t xml:space="preserve"> </w:t>
      </w:r>
      <w:r>
        <w:t xml:space="preserve">Evaluation of Architectural Submission</w:t>
      </w:r>
    </w:p>
    <w:p>
      <w:pPr>
        <w:pStyle w:val="BodyText"/>
      </w:pPr>
      <w:r>
        <w:rPr>
          <w:bCs/>
          <w:b/>
        </w:rPr>
        <w:t xml:space="preserve">Regulatory Body:</w:t>
      </w:r>
      <w:r>
        <w:t xml:space="preserve"> </w:t>
      </w:r>
      <w:r>
        <w:t xml:space="preserve">Qatar Professional Engineers Association (QPEA) / Municipality</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architectural design submission for a proposed mixed-use development located in the heart of</w:t>
      </w:r>
      <w:r>
        <w:t xml:space="preserve"> </w:t>
      </w:r>
      <w:r>
        <w:rPr>
          <w:bCs/>
          <w:b/>
        </w:rPr>
        <w:t xml:space="preserve">Qatar Doha</w:t>
      </w:r>
      <w:r>
        <w:t xml:space="preserve">. The primary objective of this review is to ensure that the</w:t>
      </w:r>
      <w:r>
        <w:t xml:space="preserve"> </w:t>
      </w:r>
      <w:r>
        <w:rPr>
          <w:bCs/>
          <w:b/>
        </w:rPr>
        <w:t xml:space="preserve">Architect</w:t>
      </w:r>
      <w:r>
        <w:t xml:space="preserve"> </w:t>
      </w:r>
      <w:r>
        <w:t xml:space="preserve">has adhered to the stringent regulatory frameworks, cultural sensitivities, and environmental standards mandated by the State of Qatar. The review assesses the design's alignment with the Qatar National Vision 2030, specifically focusing on urban sustainability, heritage preservation, and high-performance building standards.</w:t>
      </w:r>
    </w:p>
    <w:p>
      <w:pPr>
        <w:pStyle w:val="BodyText"/>
      </w:pPr>
      <w:r>
        <w:t xml:space="preserve">The</w:t>
      </w:r>
      <w:r>
        <w:t xml:space="preserve"> </w:t>
      </w:r>
      <w:r>
        <w:rPr>
          <w:bCs/>
          <w:b/>
        </w:rPr>
        <w:t xml:space="preserve">Architect</w:t>
      </w:r>
      <w:r>
        <w:t xml:space="preserve"> </w:t>
      </w:r>
      <w:r>
        <w:t xml:space="preserve">has demonstrated a strong conceptual understanding of the site context within Doha’s rapidly evolving skyline. However, this report identifies specific areas requiring refinement to ensure full compliance with the Qatar Building Code (QBC) and the guidelines set forth by the Supreme Committee for Delivery &amp; Legacy.</w:t>
      </w:r>
    </w:p>
    <w:bookmarkEnd w:id="20"/>
    <w:bookmarkStart w:id="21" w:name="regulatory-compliance-and-code-adherence"/>
    <w:p>
      <w:pPr>
        <w:pStyle w:val="Heading2"/>
      </w:pPr>
      <w:r>
        <w:t xml:space="preserve">2. Regulatory Compliance and Code Adherence</w:t>
      </w:r>
    </w:p>
    <w:p>
      <w:pPr>
        <w:pStyle w:val="FirstParagraph"/>
      </w:pPr>
      <w:r>
        <w:t xml:space="preserve">A critical component of any</w:t>
      </w:r>
      <w:r>
        <w:t xml:space="preserve"> </w:t>
      </w:r>
      <w:r>
        <w:rPr>
          <w:bCs/>
          <w:b/>
        </w:rPr>
        <w:t xml:space="preserve">Peer Review Report</w:t>
      </w:r>
      <w:r>
        <w:t xml:space="preserve"> </w:t>
      </w:r>
      <w:r>
        <w:t xml:space="preserve">in this jurisdiction is the verification of code compliance. The</w:t>
      </w:r>
      <w:r>
        <w:t xml:space="preserve"> </w:t>
      </w:r>
      <w:r>
        <w:rPr>
          <w:bCs/>
          <w:b/>
        </w:rPr>
        <w:t xml:space="preserve">Architect</w:t>
      </w:r>
      <w:r>
        <w:t xml:space="preserve"> </w:t>
      </w:r>
      <w:r>
        <w:t xml:space="preserve">must ensure that the design strictly follows the Qatar Building Code. The review highlights the following observations:</w:t>
      </w:r>
    </w:p>
    <w:p>
      <w:pPr>
        <w:numPr>
          <w:ilvl w:val="0"/>
          <w:numId w:val="1001"/>
        </w:numPr>
        <w:pStyle w:val="Compact"/>
      </w:pPr>
      <w:r>
        <w:rPr>
          <w:bCs/>
          <w:b/>
        </w:rPr>
        <w:t xml:space="preserve">Fire and Life Safety:</w:t>
      </w:r>
      <w:r>
        <w:t xml:space="preserve"> </w:t>
      </w:r>
      <w:r>
        <w:t xml:space="preserve">The egress routes and stairwell configurations generally meet the requirements. However, the separation distances between the proposed structure and adjacent properties in this dense area of</w:t>
      </w:r>
      <w:r>
        <w:t xml:space="preserve"> </w:t>
      </w:r>
      <w:r>
        <w:rPr>
          <w:bCs/>
          <w:b/>
        </w:rPr>
        <w:t xml:space="preserve">Qatar Doha</w:t>
      </w:r>
      <w:r>
        <w:t xml:space="preserve"> </w:t>
      </w:r>
      <w:r>
        <w:t xml:space="preserve">require recalculation to ensure adequate fire separation as per QBC Section 7.</w:t>
      </w:r>
    </w:p>
    <w:p>
      <w:pPr>
        <w:numPr>
          <w:ilvl w:val="0"/>
          <w:numId w:val="1001"/>
        </w:numPr>
        <w:pStyle w:val="Compact"/>
      </w:pPr>
      <w:r>
        <w:rPr>
          <w:bCs/>
          <w:b/>
        </w:rPr>
        <w:t xml:space="preserve">Accessibility:</w:t>
      </w:r>
      <w:r>
        <w:t xml:space="preserve"> </w:t>
      </w:r>
      <w:r>
        <w:t xml:space="preserve">The design incorporates universal access principles. The</w:t>
      </w:r>
      <w:r>
        <w:t xml:space="preserve"> </w:t>
      </w:r>
      <w:r>
        <w:rPr>
          <w:bCs/>
          <w:b/>
        </w:rPr>
        <w:t xml:space="preserve">Architect</w:t>
      </w:r>
      <w:r>
        <w:t xml:space="preserve"> </w:t>
      </w:r>
      <w:r>
        <w:t xml:space="preserve">has correctly applied the standards for ramps and elevator dimensions, ensuring the building is accessible to persons with disabilities, a key requirement for public buildings in Doha.</w:t>
      </w:r>
    </w:p>
    <w:p>
      <w:pPr>
        <w:numPr>
          <w:ilvl w:val="0"/>
          <w:numId w:val="1001"/>
        </w:numPr>
        <w:pStyle w:val="Compact"/>
      </w:pPr>
      <w:r>
        <w:rPr>
          <w:bCs/>
          <w:b/>
        </w:rPr>
        <w:t xml:space="preserve">Structural Integration:</w:t>
      </w:r>
      <w:r>
        <w:t xml:space="preserve"> </w:t>
      </w:r>
      <w:r>
        <w:t xml:space="preserve">While primarily an architectural review, the interface between the architectural envelope and the structural grid appears logical, facilitating efficient construction methods suitable for the local market.</w:t>
      </w:r>
    </w:p>
    <w:bookmarkEnd w:id="21"/>
    <w:bookmarkStart w:id="22" w:name="X9a93b7c04c935b28f09f69fc8ba42c4a90115f9"/>
    <w:p>
      <w:pPr>
        <w:pStyle w:val="Heading2"/>
      </w:pPr>
      <w:r>
        <w:t xml:space="preserve">3. Environmental Sustainability and ASHRAE 90.1</w:t>
      </w:r>
    </w:p>
    <w:p>
      <w:pPr>
        <w:pStyle w:val="FirstParagraph"/>
      </w:pPr>
      <w:r>
        <w:t xml:space="preserve">Given the extreme climatic conditions of</w:t>
      </w:r>
      <w:r>
        <w:t xml:space="preserve"> </w:t>
      </w:r>
      <w:r>
        <w:rPr>
          <w:bCs/>
          <w:b/>
        </w:rPr>
        <w:t xml:space="preserve">Qatar Doha</w:t>
      </w:r>
      <w:r>
        <w:t xml:space="preserve">, energy efficiency is not merely a recommendation but a regulatory necessity. The</w:t>
      </w:r>
      <w:r>
        <w:t xml:space="preserve"> </w:t>
      </w:r>
      <w:r>
        <w:rPr>
          <w:bCs/>
          <w:b/>
        </w:rPr>
        <w:t xml:space="preserve">Architect</w:t>
      </w:r>
      <w:r>
        <w:t xml:space="preserve"> </w:t>
      </w:r>
      <w:r>
        <w:t xml:space="preserve">is required to design in accordance with ASHRAE Standard 90.1, adapted for the Gulf region.</w:t>
      </w:r>
    </w:p>
    <w:p>
      <w:pPr>
        <w:pStyle w:val="BodyText"/>
      </w:pPr>
      <w:r>
        <w:t xml:space="preserve">The</w:t>
      </w:r>
      <w:r>
        <w:t xml:space="preserve"> </w:t>
      </w:r>
      <w:r>
        <w:rPr>
          <w:bCs/>
          <w:b/>
        </w:rPr>
        <w:t xml:space="preserve">Peer Review Report</w:t>
      </w:r>
      <w:r>
        <w:t xml:space="preserve"> </w:t>
      </w:r>
      <w:r>
        <w:t xml:space="preserve">notes that the building envelope specifications are robust. The use of high-performance glazing and external shading devices is commendable. However, the solar heat gain coefficient (SHGC) values for the west-facing facades need optimization. The</w:t>
      </w:r>
      <w:r>
        <w:t xml:space="preserve"> </w:t>
      </w:r>
      <w:r>
        <w:rPr>
          <w:bCs/>
          <w:b/>
        </w:rPr>
        <w:t xml:space="preserve">Architect</w:t>
      </w:r>
      <w:r>
        <w:t xml:space="preserve"> </w:t>
      </w:r>
      <w:r>
        <w:t xml:space="preserve">should consider integrating deeper brise-soleil elements or dynamic shading systems to mitigate the intense afternoon sun typical of Doha, thereby reducing the cooling load on the HVAC systems.</w:t>
      </w:r>
    </w:p>
    <w:p>
      <w:pPr>
        <w:pStyle w:val="BodyText"/>
      </w:pPr>
      <w:r>
        <w:t xml:space="preserve">Furthermore, the design should align with the Estidama Pearl Rating System principles, even if not explicitly mandated for this specific plot, to ensure the project contributes to the broader sustainability goals of Qatar.</w:t>
      </w:r>
    </w:p>
    <w:bookmarkEnd w:id="22"/>
    <w:bookmarkStart w:id="23" w:name="cultural-context-and-urban-design"/>
    <w:p>
      <w:pPr>
        <w:pStyle w:val="Heading2"/>
      </w:pPr>
      <w:r>
        <w:t xml:space="preserve">4. Cultural Context and Urban Design</w:t>
      </w:r>
    </w:p>
    <w:p>
      <w:pPr>
        <w:pStyle w:val="FirstParagraph"/>
      </w:pPr>
      <w:r>
        <w:t xml:space="preserve">Architecture in</w:t>
      </w:r>
      <w:r>
        <w:t xml:space="preserve"> </w:t>
      </w:r>
      <w:r>
        <w:rPr>
          <w:bCs/>
          <w:b/>
        </w:rPr>
        <w:t xml:space="preserve">Qatar Doha</w:t>
      </w:r>
      <w:r>
        <w:t xml:space="preserve"> </w:t>
      </w:r>
      <w:r>
        <w:t xml:space="preserve">must strike a delicate balance between modernity and tradition. The</w:t>
      </w:r>
      <w:r>
        <w:t xml:space="preserve"> </w:t>
      </w:r>
      <w:r>
        <w:rPr>
          <w:bCs/>
          <w:b/>
        </w:rPr>
        <w:t xml:space="preserve">Architect</w:t>
      </w:r>
      <w:r>
        <w:t xml:space="preserve"> </w:t>
      </w:r>
      <w:r>
        <w:t xml:space="preserve">has attempted to reflect local vernacular through the use of geometric patterns in the facade cladding. This approach is positive and respects the cultural identity of the region.</w:t>
      </w:r>
    </w:p>
    <w:p>
      <w:pPr>
        <w:pStyle w:val="BodyText"/>
      </w:pPr>
      <w:r>
        <w:t xml:space="preserve">However, the</w:t>
      </w:r>
      <w:r>
        <w:t xml:space="preserve"> </w:t>
      </w:r>
      <w:r>
        <w:rPr>
          <w:bCs/>
          <w:b/>
        </w:rPr>
        <w:t xml:space="preserve">Peer Review Report</w:t>
      </w:r>
      <w:r>
        <w:t xml:space="preserve"> </w:t>
      </w:r>
      <w:r>
        <w:t xml:space="preserve">suggests that the ground floor activation needs improvement. In Doha, the street level is vital for social interaction. The current design presents a solid wall to the main pedestrian thoroughfare. The</w:t>
      </w:r>
      <w:r>
        <w:t xml:space="preserve"> </w:t>
      </w:r>
      <w:r>
        <w:rPr>
          <w:bCs/>
          <w:b/>
        </w:rPr>
        <w:t xml:space="preserve">Architect</w:t>
      </w:r>
      <w:r>
        <w:t xml:space="preserve"> </w:t>
      </w:r>
      <w:r>
        <w:t xml:space="preserve">is advised to introduce permeable retail fronts or shaded public seating areas to enhance the pedestrian experience and align with the urban design guidelines of the Doha Municipality.</w:t>
      </w:r>
    </w:p>
    <w:bookmarkEnd w:id="23"/>
    <w:bookmarkStart w:id="24" w:name="technical-documentation-quality"/>
    <w:p>
      <w:pPr>
        <w:pStyle w:val="Heading2"/>
      </w:pPr>
      <w:r>
        <w:t xml:space="preserve">5. Technical Documentation Quality</w:t>
      </w:r>
    </w:p>
    <w:p>
      <w:pPr>
        <w:pStyle w:val="FirstParagraph"/>
      </w:pPr>
      <w:r>
        <w:t xml:space="preserve">The quality of the submission drawings is a reflection of the</w:t>
      </w:r>
      <w:r>
        <w:t xml:space="preserve"> </w:t>
      </w:r>
      <w:r>
        <w:rPr>
          <w:bCs/>
          <w:b/>
        </w:rPr>
        <w:t xml:space="preserve">Architect</w:t>
      </w:r>
      <w:r>
        <w:t xml:space="preserve">'s professionalism. The plans, sections, and elevations are generally clear and well-annotated. However, discrepancies were noted between the reflected ceiling plans and the structural beam levels in the lobby area. The</w:t>
      </w:r>
      <w:r>
        <w:t xml:space="preserve"> </w:t>
      </w:r>
      <w:r>
        <w:rPr>
          <w:bCs/>
          <w:b/>
        </w:rPr>
        <w:t xml:space="preserve">Architect</w:t>
      </w:r>
      <w:r>
        <w:t xml:space="preserve"> </w:t>
      </w:r>
      <w:r>
        <w:t xml:space="preserve">must resolve these clashes prior to the issuance of construction documents to avoid costly delays on site.</w:t>
      </w:r>
    </w:p>
    <w:p>
      <w:pPr>
        <w:pStyle w:val="BodyText"/>
      </w:pPr>
      <w:r>
        <w:t xml:space="preserve">Additionally, the material specifications should be cross-referenced with locally available materials in Qatar to ensure constructability and cost-effectiveness.</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finds that the</w:t>
      </w:r>
      <w:r>
        <w:t xml:space="preserve"> </w:t>
      </w:r>
      <w:r>
        <w:rPr>
          <w:bCs/>
          <w:b/>
        </w:rPr>
        <w:t xml:space="preserve">Architect</w:t>
      </w:r>
      <w:r>
        <w:t xml:space="preserve"> </w:t>
      </w:r>
      <w:r>
        <w:t xml:space="preserve">has produced a design that is largely compliant with the regulatory and environmental standards of</w:t>
      </w:r>
      <w:r>
        <w:t xml:space="preserve"> </w:t>
      </w:r>
      <w:r>
        <w:rPr>
          <w:bCs/>
          <w:b/>
        </w:rPr>
        <w:t xml:space="preserve">Qatar Doha</w:t>
      </w:r>
      <w:r>
        <w:t xml:space="preserve">. The project shows promise in contributing to the city's architectural landscape.</w:t>
      </w:r>
    </w:p>
    <w:p>
      <w:pPr>
        <w:pStyle w:val="BodyText"/>
      </w:pPr>
      <w:r>
        <w:t xml:space="preserve">The review is</w:t>
      </w:r>
      <w:r>
        <w:t xml:space="preserve"> </w:t>
      </w:r>
      <w:r>
        <w:rPr>
          <w:bCs/>
          <w:b/>
        </w:rPr>
        <w:t xml:space="preserve">Conditionally Approved</w:t>
      </w:r>
      <w:r>
        <w:t xml:space="preserve">, subject to the following actions by the</w:t>
      </w:r>
      <w:r>
        <w:t xml:space="preserve"> </w:t>
      </w:r>
      <w:r>
        <w:rPr>
          <w:bCs/>
          <w:b/>
        </w:rPr>
        <w:t xml:space="preserve">Architect</w:t>
      </w:r>
      <w:r>
        <w:t xml:space="preserve">:</w:t>
      </w:r>
    </w:p>
    <w:p>
      <w:pPr>
        <w:numPr>
          <w:ilvl w:val="0"/>
          <w:numId w:val="1002"/>
        </w:numPr>
        <w:pStyle w:val="Compact"/>
      </w:pPr>
      <w:r>
        <w:t xml:space="preserve">Revise the facade shading strategy for west-facing elevations to meet energy efficiency targets.</w:t>
      </w:r>
    </w:p>
    <w:p>
      <w:pPr>
        <w:numPr>
          <w:ilvl w:val="0"/>
          <w:numId w:val="1002"/>
        </w:numPr>
        <w:pStyle w:val="Compact"/>
      </w:pPr>
      <w:r>
        <w:t xml:space="preserve">Redesign the ground floor facade to improve street-level activation and pedestrian permeability.</w:t>
      </w:r>
    </w:p>
    <w:p>
      <w:pPr>
        <w:numPr>
          <w:ilvl w:val="0"/>
          <w:numId w:val="1002"/>
        </w:numPr>
        <w:pStyle w:val="Compact"/>
      </w:pPr>
      <w:r>
        <w:t xml:space="preserve">Resolve discrepancies between architectural and structural levels in the lobby.</w:t>
      </w:r>
    </w:p>
    <w:p>
      <w:pPr>
        <w:numPr>
          <w:ilvl w:val="0"/>
          <w:numId w:val="1002"/>
        </w:numPr>
        <w:pStyle w:val="Compact"/>
      </w:pPr>
      <w:r>
        <w:t xml:space="preserve">Provide a detailed fire safety strategy report confirming compliance with QBC.</w:t>
      </w:r>
    </w:p>
    <w:p>
      <w:pPr>
        <w:pStyle w:val="FirstParagraph"/>
      </w:pPr>
      <w:r>
        <w:t xml:space="preserve">Upon satisfactory resolution of these points, the design will be deemed ready for the next stage of approval.</w:t>
      </w:r>
    </w:p>
    <w:p>
      <w:pPr>
        <w:pStyle w:val="BodyText"/>
      </w:pPr>
      <w:r>
        <w:rPr>
          <w:bCs/>
          <w:b/>
        </w:rPr>
        <w:t xml:space="preserve">Reviewed By:</w:t>
      </w:r>
      <w:r>
        <w:br/>
      </w:r>
      <w:r>
        <w:t xml:space="preserve">Senior Review Architect</w:t>
      </w:r>
      <w:r>
        <w:br/>
      </w:r>
      <w:r>
        <w:t xml:space="preserve">Qatar Professional Engineers Association (QPEA)</w:t>
      </w:r>
    </w:p>
    <w:p>
      <w:pPr>
        <w:pStyle w:val="BodyText"/>
      </w:pPr>
      <w:r>
        <w:rPr>
          <w:bCs/>
          <w:b/>
        </w:rPr>
        <w:t xml:space="preserve">Submitted By:</w:t>
      </w:r>
      <w:r>
        <w:br/>
      </w:r>
      <w:r>
        <w:t xml:space="preserve">Lead Architect</w:t>
      </w:r>
      <w:r>
        <w:br/>
      </w:r>
      <w:r>
        <w:t xml:space="preserve">[Architect Firm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Qatar Doha</dc:title>
  <dc:creator/>
  <dc:language>en</dc:language>
  <cp:keywords/>
  <dcterms:created xsi:type="dcterms:W3CDTF">2026-10-10T06:58:15Z</dcterms:created>
  <dcterms:modified xsi:type="dcterms:W3CDTF">2026-10-10T06:58:15Z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