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Russia</w:t>
      </w:r>
      <w:r>
        <w:t xml:space="preserve"> </w:t>
      </w:r>
      <w:r>
        <w:t xml:space="preserve">Moscow</w:t>
      </w:r>
    </w:p>
    <w:bookmarkStart w:id="27" w:name="X6230639f022832fef0f0e671aaa35c2ba94a278"/>
    <w:p>
      <w:pPr>
        <w:pStyle w:val="Heading1"/>
      </w:pPr>
      <w:r>
        <w:t xml:space="preserve">Peer Review Report: Architectural Practice</w:t>
      </w:r>
    </w:p>
    <w:p>
      <w:pPr>
        <w:pStyle w:val="FirstParagraph"/>
      </w:pPr>
      <w:r>
        <w:t xml:space="preserve">Subject of Review</w:t>
      </w:r>
    </w:p>
    <w:p>
      <w:pPr>
        <w:pStyle w:val="BodyText"/>
      </w:pPr>
      <w:r>
        <w:t xml:space="preserve">Senior Architect / Lead Designer</w:t>
      </w:r>
    </w:p>
    <w:p>
      <w:pPr>
        <w:pStyle w:val="BodyText"/>
      </w:pPr>
      <w:r>
        <w:t xml:space="preserve">Location of Practice</w:t>
      </w:r>
    </w:p>
    <w:p>
      <w:pPr>
        <w:pStyle w:val="BodyText"/>
      </w:pPr>
      <w:r>
        <w:t xml:space="preserve">Russia Moscow</w:t>
      </w:r>
    </w:p>
    <w:p>
      <w:pPr>
        <w:pStyle w:val="BodyText"/>
      </w:pPr>
      <w:r>
        <w:t xml:space="preserve">Review Period</w:t>
      </w:r>
    </w:p>
    <w:p>
      <w:pPr>
        <w:pStyle w:val="BodyText"/>
      </w:pPr>
      <w:r>
        <w:t xml:space="preserve">Q1 2023 – Q4 2023</w:t>
      </w:r>
    </w:p>
    <w:p>
      <w:pPr>
        <w:pStyle w:val="BodyText"/>
      </w:pPr>
      <w:r>
        <w:t xml:space="preserve">Review Type</w:t>
      </w:r>
    </w:p>
    <w:p>
      <w:pPr>
        <w:pStyle w:val="BodyText"/>
      </w:pPr>
      <w:r>
        <w:t xml:space="preserve">Professional Competency &amp; Project Delivery</w:t>
      </w:r>
    </w:p>
    <w:p>
      <w:pPr>
        <w:pStyle w:val="BodyText"/>
      </w:pPr>
      <w:r>
        <w:t xml:space="preserve">Reviewers</w:t>
      </w:r>
    </w:p>
    <w:p>
      <w:pPr>
        <w:pStyle w:val="BodyText"/>
      </w:pPr>
      <w:r>
        <w:t xml:space="preserve">Internal Technical Committee</w:t>
      </w:r>
    </w:p>
    <w:p>
      <w:pPr>
        <w:pStyle w:val="BodyText"/>
      </w:pPr>
      <w:r>
        <w:t xml:space="preserve">Date of Report</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evaluates the professional performance, technical acumen, and project delivery capabilities of the subject Architect operating within the dynamic urban landscape of Russia Moscow. The review focuses on the architect's ability to navigate the complex regulatory environment of the Russian Federation, specifically adhering to the stringent building codes (SNiP and SP) prevalent in Moscow. Furthermore, this assessment examines the integration of contemporary design principles with the historical and cultural context of the capital city. The overall rating for the period under review is "Highly Satisfactory," with specific commendations for technical compliance and urban integration, alongside recommendations for enhanced sustainability metrics.</w:t>
      </w:r>
    </w:p>
    <w:bookmarkEnd w:id="20"/>
    <w:bookmarkStart w:id="21" w:name="Xe9f3e4cca0d56fbc9858b3fa70ba9791c93cb36"/>
    <w:p>
      <w:pPr>
        <w:pStyle w:val="Heading2"/>
      </w:pPr>
      <w:r>
        <w:t xml:space="preserve">2. Contextual Analysis: The Moscow Environment</w:t>
      </w:r>
    </w:p>
    <w:p>
      <w:pPr>
        <w:pStyle w:val="FirstParagraph"/>
      </w:pPr>
      <w:r>
        <w:t xml:space="preserve">Practicing as an Architect in Russia Moscow presents a unique set of challenges and opportunities that distinguish it from other global markets. The city is characterized by a rapid pace of development, a blend of Soviet-era brutalism, Imperial heritage, and cutting-edge modernism. The subject Architect has demonstrated a profound understanding of this context. The review highlights the architect's success in managing projects that require sensitive dialogue with existing urban fabrics, particularly in districts undergoing revitalization near the Moscow River and the Central Administrative Okrug.</w:t>
      </w:r>
    </w:p>
    <w:p>
      <w:pPr>
        <w:pStyle w:val="BodyText"/>
      </w:pPr>
      <w:r>
        <w:t xml:space="preserve">A critical aspect of this review is the architect's proficiency in dealing with the specific climatic conditions of Moscow. The design solutions proposed during the review period effectively addressed the requirements for thermal insulation, snow load calculations, and daylight optimization necessary for the region's harsh winters. This technical responsiveness is a prerequisite for any successful Architect in this jurisdiction, and the subject has met these standards with distinction.</w:t>
      </w:r>
    </w:p>
    <w:bookmarkEnd w:id="21"/>
    <w:bookmarkStart w:id="22" w:name="X8419e92693203b662a2671aeff31178058ca4e1"/>
    <w:p>
      <w:pPr>
        <w:pStyle w:val="Heading2"/>
      </w:pPr>
      <w:r>
        <w:t xml:space="preserve">3. Technical Competency and Regulatory Compliance</w:t>
      </w:r>
    </w:p>
    <w:p>
      <w:pPr>
        <w:pStyle w:val="FirstParagraph"/>
      </w:pPr>
      <w:r>
        <w:t xml:space="preserve">The core of this Peer Review Report assesses the Architect's adherence to the regulatory framework governing construction in Russia. The subject has shown exceptional diligence in complying with the "Technical Regulations on Safety of Buildings and Structures" (Federal Law No. 384-FZ). The review team analyzed three major residential and commercial projects submitted for state expert review. In all instances, the documentation was robust, minimizing the risk of rejection by the Moscow State Expertise.</w:t>
      </w:r>
    </w:p>
    <w:p>
      <w:pPr>
        <w:pStyle w:val="BodyText"/>
      </w:pPr>
      <w:r>
        <w:t xml:space="preserve">Specific attention was paid to the application of the "Rules of Land Use and Development" (PZZ) for Moscow. The Architect demonstrated a sophisticated ability to maximize floor area ratios (FAR) while respecting height restrictions and setback requirements imposed by the Moscow City Hall. This balance is crucial in a high-density environment like Moscow, where land value is paramount. The technical drawings and BIM models reviewed were of high quality, facilitating clear communication with structural engineers and MEP specialists, thereby reducing coordination errors during the construction phase.</w:t>
      </w:r>
    </w:p>
    <w:bookmarkEnd w:id="22"/>
    <w:bookmarkStart w:id="23" w:name="design-quality-and-aesthetic-merit"/>
    <w:p>
      <w:pPr>
        <w:pStyle w:val="Heading2"/>
      </w:pPr>
      <w:r>
        <w:t xml:space="preserve">4. Design Quality and Aesthetic Merit</w:t>
      </w:r>
    </w:p>
    <w:p>
      <w:pPr>
        <w:pStyle w:val="FirstParagraph"/>
      </w:pPr>
      <w:r>
        <w:t xml:space="preserve">Beyond technical compliance, the role of an Architect is to create spaces that inspire and function efficiently. The review committee evaluated the aesthetic merit of the subject's recent portfolio in Russia Moscow. The designs exhibit a mature architectural language that avoids superficial mimicry of Western trends, instead opting for a contextual modernism that respects the scale and rhythm of Moscow's streets.</w:t>
      </w:r>
    </w:p>
    <w:p>
      <w:pPr>
        <w:pStyle w:val="BodyText"/>
      </w:pPr>
      <w:r>
        <w:t xml:space="preserve">The use of materials was scrutinized, with a positive note on the selection of locally sourced stone and high-performance glazing systems suitable for the Russian market. The interior layouts reviewed showed a thoughtful consideration of the lifestyle of Moscow residents, prioritizing communal spaces and efficient circulation. However, the report notes that while the exterior facades are striking, there is room for improvement in the detailing of public plazas and ground-floor activations, which are essential for the vibrancy of Moscow's urban life.</w:t>
      </w:r>
    </w:p>
    <w:bookmarkEnd w:id="23"/>
    <w:bookmarkStart w:id="24" w:name="project-management-and-collaboration"/>
    <w:p>
      <w:pPr>
        <w:pStyle w:val="Heading2"/>
      </w:pPr>
      <w:r>
        <w:t xml:space="preserve">5. Project Management and Collaboration</w:t>
      </w:r>
    </w:p>
    <w:p>
      <w:pPr>
        <w:pStyle w:val="FirstParagraph"/>
      </w:pPr>
      <w:r>
        <w:t xml:space="preserve">The construction industry in Russia Moscow is known for its intensity and tight deadlines. This Peer Review Report highlights the subject Architect's strong project management skills. The architect has maintained effective relationships with general contractors, suppliers, and government officials. The ability to navigate the bureaucratic processes inherent in obtaining permits in Moscow was rated highly.</w:t>
      </w:r>
    </w:p>
    <w:p>
      <w:pPr>
        <w:pStyle w:val="BodyText"/>
      </w:pPr>
      <w:r>
        <w:t xml:space="preserve">Collaboration with multidisciplinary teams was seamless. The Architect acted as a cohesive leader, ensuring that the design intent was preserved despite the inevitable compromises required during the construction phase. The review found that the subject's responsiveness to site issues was prompt and solution-oriented, preventing significant delays in project timelines.</w:t>
      </w:r>
    </w:p>
    <w:bookmarkEnd w:id="24"/>
    <w:bookmarkStart w:id="25" w:name="sustainability-and-future-outlook"/>
    <w:p>
      <w:pPr>
        <w:pStyle w:val="Heading2"/>
      </w:pPr>
      <w:r>
        <w:t xml:space="preserve">6. Sustainability and Future Outlook</w:t>
      </w:r>
    </w:p>
    <w:p>
      <w:pPr>
        <w:pStyle w:val="FirstParagraph"/>
      </w:pPr>
      <w:r>
        <w:t xml:space="preserve">As Russia Moscow moves towards greener urban development, the expectation for Architects to integrate sustainable practices is growing. While the subject has met all mandatory energy efficiency standards, this report recommends a proactive approach to green building certification, such as BREEAM or LEED, which are increasingly valued by international investors in the Moscow market. Incorporating passive design strategies and renewable energy systems would further elevate the Architect's standing in the competitive landscape of the capital.</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the subject's status as a competent and reliable Architect within the jurisdiction of Russia Moscow. The combination of technical rigor, regulatory knowledge, and design sensitivity makes the subject a valuable asset to the firm and the city's development.</w:t>
      </w:r>
    </w:p>
    <w:p>
      <w:pPr>
        <w:pStyle w:val="BodyText"/>
      </w:pPr>
      <w:r>
        <w:rPr>
          <w:bCs/>
          <w:b/>
        </w:rPr>
        <w:t xml:space="preserve">Recommendations:</w:t>
      </w:r>
    </w:p>
    <w:p>
      <w:pPr>
        <w:numPr>
          <w:ilvl w:val="0"/>
          <w:numId w:val="1001"/>
        </w:numPr>
        <w:pStyle w:val="Compact"/>
      </w:pPr>
      <w:r>
        <w:t xml:space="preserve">Enhance focus on sustainable design certifications to align with global standards.</w:t>
      </w:r>
    </w:p>
    <w:p>
      <w:pPr>
        <w:numPr>
          <w:ilvl w:val="0"/>
          <w:numId w:val="1001"/>
        </w:numPr>
        <w:pStyle w:val="Compact"/>
      </w:pPr>
      <w:r>
        <w:t xml:space="preserve">Deepen engagement with urban planning authorities to influence future zoning policies.</w:t>
      </w:r>
    </w:p>
    <w:p>
      <w:pPr>
        <w:numPr>
          <w:ilvl w:val="0"/>
          <w:numId w:val="1001"/>
        </w:numPr>
        <w:pStyle w:val="Compact"/>
      </w:pPr>
      <w:r>
        <w:t xml:space="preserve">Continue to refine the detailing of public spaces to enhance the pedestrian experience in Moscow.</w:t>
      </w:r>
    </w:p>
    <w:p>
      <w:pPr>
        <w:pStyle w:val="FirstParagraph"/>
      </w:pPr>
      <w:r>
        <w:rPr>
          <w:bCs/>
          <w:b/>
        </w:rPr>
        <w:t xml:space="preserve">Lead Reviewer</w:t>
      </w:r>
      <w:r>
        <w:br/>
      </w:r>
      <w:r>
        <w:t xml:space="preserve">Senior Principal Architect</w:t>
      </w:r>
      <w:r>
        <w:br/>
      </w:r>
      <w:r>
        <w:t xml:space="preserve">Date: _______________</w:t>
      </w:r>
    </w:p>
    <w:p>
      <w:pPr>
        <w:pStyle w:val="BodyText"/>
      </w:pPr>
      <w:r>
        <w:rPr>
          <w:bCs/>
          <w:b/>
        </w:rPr>
        <w:t xml:space="preserve">Technical Director</w:t>
      </w:r>
      <w:r>
        <w:br/>
      </w:r>
      <w:r>
        <w:t xml:space="preserve">Moscow Office</w:t>
      </w:r>
      <w:r>
        <w:br/>
      </w:r>
      <w:r>
        <w:t xml:space="preserve">Date: _______________</w:t>
      </w:r>
    </w:p>
    <w:p>
      <w:pPr>
        <w:pStyle w:val="BodyText"/>
      </w:pPr>
      <w:r>
        <w:t xml:space="preserve">Confidential Document - For Internal Use Only. Prepared in accordance with professional standards for Architectural Peer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Russia Moscow</dc:title>
  <dc:creator/>
  <dc:language>en</dc:language>
  <cp:keywords/>
  <dcterms:created xsi:type="dcterms:W3CDTF">2026-10-10T05:50:57Z</dcterms:created>
  <dcterms:modified xsi:type="dcterms:W3CDTF">2026-10-10T05:50:57Z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