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Practice and Professional Competence</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South African Council for the Architectural Profession (SACAP)</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competence, and ethical adherence of a registered Architect operating within the Western Cape province, specifically in the metropolitan area of Cape Town. The review process aligns with the mandates of the South African Council for the Architectural Profession (SACAP) and the National Building Regulations (SANS 10400). The objective is to ensure that the Architect maintains the highest standards of practice, contributing positively to the built environment of Cape Town while safeguarding public interest, health, and safety.</w:t>
      </w:r>
    </w:p>
    <w:p>
      <w:pPr>
        <w:pStyle w:val="BodyText"/>
      </w:pPr>
      <w:r>
        <w:t xml:space="preserve">The assessment covers project management, design quality, regulatory compliance, and professional conduct. The findings indicate a generally robust practice, though specific areas regarding local municipal bylaws and sustainable design integration require attention.</w:t>
      </w:r>
    </w:p>
    <w:bookmarkEnd w:id="21"/>
    <w:bookmarkStart w:id="22" w:name="introduction-and-scope"/>
    <w:p>
      <w:pPr>
        <w:pStyle w:val="Heading2"/>
      </w:pPr>
      <w:r>
        <w:t xml:space="preserve">2. Introduction and Scope</w:t>
      </w:r>
    </w:p>
    <w:p>
      <w:pPr>
        <w:pStyle w:val="FirstParagraph"/>
      </w:pPr>
      <w:r>
        <w:t xml:space="preserve">The role of an Architect in South Africa is governed by the Architectural Profession Act (Act No. 44 of 2000). This Peer Review Report focuses on a specific Architect based in Cape Town, a city known for its unique topography, diverse climate zones, and stringent heritage conservation requirements. The scope of this review includes an analysis of three recent residential and commercial projects completed within the last 24 months.</w:t>
      </w:r>
    </w:p>
    <w:p>
      <w:pPr>
        <w:pStyle w:val="BodyText"/>
      </w:pPr>
      <w:r>
        <w:t xml:space="preserve">The review panel, consisting of senior registered Architects, examined the Architect's ability to navigate the complex regulatory landscape of the City of Cape Town Municipality. This includes adherence to zoning schemes, heritage overlays, and the specific challenges posed by the Cape Town water and energy crisis. The report aims to provide a transparent evaluation of the Architect's contribution to the profession and the community.</w:t>
      </w:r>
    </w:p>
    <w:bookmarkEnd w:id="22"/>
    <w:bookmarkStart w:id="23" w:name="X724babb4ebd4b9fad1136d274ec698810bc5e91"/>
    <w:p>
      <w:pPr>
        <w:pStyle w:val="Heading2"/>
      </w:pPr>
      <w:r>
        <w:t xml:space="preserve">3. Regulatory Compliance and Technical Standards</w:t>
      </w:r>
    </w:p>
    <w:p>
      <w:pPr>
        <w:pStyle w:val="FirstParagraph"/>
      </w:pPr>
      <w:r>
        <w:t xml:space="preserve">A critical component of this Peer Review Report is the assessment of compliance with South African National Standards (SANS). The Architect demonstrated a strong understanding of SANS 10400, particularly regarding structural stability and fire safety. However, the review identified minor discrepancies in the documentation submitted to the City of Cape Town regarding stormwater management. Given Cape Town's susceptibility to flash floods in certain topographical areas, strict adherence to municipal drainage bylaws is non-negotiable.</w:t>
      </w:r>
    </w:p>
    <w:p>
      <w:pPr>
        <w:pStyle w:val="BodyText"/>
      </w:pPr>
      <w:r>
        <w:t xml:space="preserve">Furthermore, the Architect's handling of heritage conservation requirements was scrutinized. Cape Town possesses a rich architectural history, and many projects fall under the jurisdiction of the Western Cape Heritage Resources Agency. The Architect showed competence in navigating these approvals but was advised to engage heritage specialists earlier in the design phase to avoid costly redesigns and delays.</w:t>
      </w:r>
    </w:p>
    <w:bookmarkEnd w:id="23"/>
    <w:bookmarkStart w:id="24" w:name="X9e6140fbe196bb41b89ebad9602b847d61d9a98"/>
    <w:p>
      <w:pPr>
        <w:pStyle w:val="Heading2"/>
      </w:pPr>
      <w:r>
        <w:t xml:space="preserve">4. Design Quality and Contextual Sensitivity</w:t>
      </w:r>
    </w:p>
    <w:p>
      <w:pPr>
        <w:pStyle w:val="FirstParagraph"/>
      </w:pPr>
      <w:r>
        <w:t xml:space="preserve">The Architect's design portfolio reflects a contemporary approach that generally respects the local context. In the reviewed projects, there was a notable effort to integrate buildings into the natural landscape, a hallmark of high-quality architecture in the Western Cape. The use of local materials, such as stone and timber, was praised for reducing the carbon footprint and enhancing aesthetic harmony.</w:t>
      </w:r>
    </w:p>
    <w:p>
      <w:pPr>
        <w:pStyle w:val="BodyText"/>
      </w:pPr>
      <w:r>
        <w:t xml:space="preserve">However, the Peer Review Report notes that while the aesthetic quality is high, the functional performance of some designs regarding passive cooling could be improved. Cape Town's Mediterranean climate requires careful consideration of solar orientation and ventilation. The Architect is encouraged to adopt more rigorous passive design strategies to reduce reliance on mechanical cooling, thereby aligning with global sustainability goals and local energy constraints.</w:t>
      </w:r>
    </w:p>
    <w:bookmarkEnd w:id="24"/>
    <w:bookmarkStart w:id="25" w:name="professional-conduct-and-ethics"/>
    <w:p>
      <w:pPr>
        <w:pStyle w:val="Heading2"/>
      </w:pPr>
      <w:r>
        <w:t xml:space="preserve">5. Professional Conduct and Ethics</w:t>
      </w:r>
    </w:p>
    <w:p>
      <w:pPr>
        <w:pStyle w:val="FirstParagraph"/>
      </w:pPr>
      <w:r>
        <w:t xml:space="preserve">Ethical practice is paramount for any Architect registered with SACAP. This section of the Peer Review Report evaluates the Architect's adherence to the Code of Professional Conduct and Ethics. The Architect was found to maintain transparent communication with clients, contractors, and consultants. There were no reported instances of conflict of interest or unethical billing practices.</w:t>
      </w:r>
    </w:p>
    <w:p>
      <w:pPr>
        <w:pStyle w:val="BodyText"/>
      </w:pPr>
      <w:r>
        <w:t xml:space="preserve">The Architect also demonstrated a commitment to Continuing Professional Development (CPD), having completed the required hours for the current cycle. This ongoing education is vital for staying updated with changes in South African building law and emerging construction technologies. The review panel commends the Architect for their active participation in local architectural forums in Cape Town, which fosters a collaborative professional environment.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Architect:</w:t>
      </w:r>
    </w:p>
    <w:p>
      <w:pPr>
        <w:numPr>
          <w:ilvl w:val="0"/>
          <w:numId w:val="1001"/>
        </w:numPr>
        <w:pStyle w:val="Compact"/>
      </w:pPr>
      <w:r>
        <w:rPr>
          <w:bCs/>
          <w:b/>
        </w:rPr>
        <w:t xml:space="preserve">Enhance Stormwater Documentation:</w:t>
      </w:r>
      <w:r>
        <w:t xml:space="preserve"> </w:t>
      </w:r>
      <w:r>
        <w:t xml:space="preserve">Ensure all submissions to the City of Cape Town include detailed stormwater management plans that exceed minimum requirements, considering climate change projections.</w:t>
      </w:r>
    </w:p>
    <w:p>
      <w:pPr>
        <w:numPr>
          <w:ilvl w:val="0"/>
          <w:numId w:val="1001"/>
        </w:numPr>
        <w:pStyle w:val="Compact"/>
      </w:pPr>
      <w:r>
        <w:rPr>
          <w:bCs/>
          <w:b/>
        </w:rPr>
        <w:t xml:space="preserve">Early Heritage Engagement:</w:t>
      </w:r>
      <w:r>
        <w:t xml:space="preserve"> </w:t>
      </w:r>
      <w:r>
        <w:t xml:space="preserve">Integrate heritage impact assessments at the conceptual design stage for projects in sensitive areas.</w:t>
      </w:r>
    </w:p>
    <w:p>
      <w:pPr>
        <w:numPr>
          <w:ilvl w:val="0"/>
          <w:numId w:val="1001"/>
        </w:numPr>
        <w:pStyle w:val="Compact"/>
      </w:pPr>
      <w:r>
        <w:rPr>
          <w:bCs/>
          <w:b/>
        </w:rPr>
        <w:t xml:space="preserve">Sustainability Focus:</w:t>
      </w:r>
      <w:r>
        <w:t xml:space="preserve"> </w:t>
      </w:r>
      <w:r>
        <w:t xml:space="preserve">Prioritize passive design strategies to improve energy efficiency and resilience against power outages (load shedding), which is a critical issue in South Africa.</w:t>
      </w:r>
    </w:p>
    <w:p>
      <w:pPr>
        <w:numPr>
          <w:ilvl w:val="0"/>
          <w:numId w:val="1001"/>
        </w:numPr>
        <w:pStyle w:val="Compact"/>
      </w:pPr>
      <w:r>
        <w:rPr>
          <w:bCs/>
          <w:b/>
        </w:rPr>
        <w:t xml:space="preserve">Local Sourcing:</w:t>
      </w:r>
      <w:r>
        <w:t xml:space="preserve"> </w:t>
      </w:r>
      <w:r>
        <w:t xml:space="preserve">Continue and expand the use of locally sourced materials to support the regional economy and reduce embodied carbon.</w:t>
      </w:r>
    </w:p>
    <w:bookmarkEnd w:id="26"/>
    <w:bookmarkStart w:id="27" w:name="conclusion"/>
    <w:p>
      <w:pPr>
        <w:pStyle w:val="Heading2"/>
      </w:pPr>
      <w:r>
        <w:t xml:space="preserve">7. Conclusion</w:t>
      </w:r>
    </w:p>
    <w:p>
      <w:pPr>
        <w:pStyle w:val="FirstParagraph"/>
      </w:pPr>
      <w:r>
        <w:t xml:space="preserve">In conclusion, this Peer Review Report confirms that the Architect operates at a professional level consistent with the expectations of the South African Council for the Architectural Profession. The Architect demonstrates a solid understanding of the technical, regulatory, and ethical requirements of practicing in Cape Town. While there are areas for improvement, particularly regarding environmental resilience and heritage integration, the overall assessment is positive. The Architect is well-positioned to continue contributing to the high-quality built environment of Cape Town and South Africa at large.</w:t>
      </w:r>
    </w:p>
    <w:bookmarkEnd w:id="27"/>
    <w:p>
      <w:pPr>
        <w:pStyle w:val="BodyText"/>
      </w:pPr>
      <w:r>
        <w:rPr>
          <w:bCs/>
          <w:b/>
        </w:rPr>
        <w:t xml:space="preserve">Report Compiled By:</w:t>
      </w:r>
    </w:p>
    <w:p>
      <w:pPr>
        <w:pStyle w:val="BodyText"/>
      </w:pPr>
      <w:r>
        <w:t xml:space="preserve">Senior Review Panel</w:t>
      </w:r>
    </w:p>
    <w:p>
      <w:pPr>
        <w:pStyle w:val="BodyText"/>
      </w:pPr>
      <w:r>
        <w:t xml:space="preserve">South African Council for the Architectural Profession (SACAP)</w:t>
      </w:r>
    </w:p>
    <w:p>
      <w:pPr>
        <w:pStyle w:val="BodyText"/>
      </w:pPr>
      <w:r>
        <w:t xml:space="preserve">Cape Town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Cape Town, South Africa</dc:title>
  <dc:creator/>
  <dc:language>en</dc:language>
  <cp:keywords/>
  <dcterms:created xsi:type="dcterms:W3CDTF">2026-10-10T08:51:35Z</dcterms:created>
  <dcterms:modified xsi:type="dcterms:W3CDTF">2026-10-10T08:51:35Z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