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6" w:name="X6800f59405d664ac9fd0c54247a778bc580f36f"/>
    <w:p>
      <w:pPr>
        <w:pStyle w:val="Heading1"/>
      </w:pPr>
      <w:r>
        <w:t xml:space="preserve">Peer Review Report: Architectural Practice and Professional Competency</w:t>
      </w:r>
    </w:p>
    <w:p>
      <w:pPr>
        <w:pStyle w:val="FirstParagraph"/>
      </w:pPr>
      <w:r>
        <w:rPr>
          <w:bCs/>
          <w:b/>
        </w:rPr>
        <w:t xml:space="preserve">Subject:</w:t>
      </w:r>
      <w:r>
        <w:t xml:space="preserve"> </w:t>
      </w:r>
      <w:r>
        <w:t xml:space="preserve">Evaluation of Architectural Services and Design Integrity</w:t>
      </w:r>
    </w:p>
    <w:p>
      <w:pPr>
        <w:pStyle w:val="BodyText"/>
      </w:pPr>
      <w:r>
        <w:rPr>
          <w:bCs/>
          <w:b/>
        </w:rPr>
        <w:t xml:space="preserve">Location of Practice:</w:t>
      </w:r>
      <w:r>
        <w:t xml:space="preserve"> </w:t>
      </w:r>
      <w:r>
        <w:t xml:space="preserve">Khartoum, Sudan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w:t>
      </w:r>
    </w:p>
    <w:p>
      <w:pPr>
        <w:pStyle w:val="BodyText"/>
      </w:pPr>
      <w:r>
        <w:rPr>
          <w:bCs/>
          <w:b/>
        </w:rPr>
        <w:t xml:space="preserve">Reference Standard:</w:t>
      </w:r>
      <w:r>
        <w:t xml:space="preserve"> </w:t>
      </w:r>
      <w:r>
        <w:t xml:space="preserve">Sudanese Building Code &amp; International Best Practices</w:t>
      </w:r>
    </w:p>
    <w:bookmarkStart w:id="20" w:name="executive-summary"/>
    <w:p>
      <w:pPr>
        <w:pStyle w:val="Heading2"/>
      </w:pPr>
      <w:r>
        <w:t xml:space="preserve">1. Executive Summary</w:t>
      </w:r>
    </w:p>
    <w:p>
      <w:pPr>
        <w:pStyle w:val="FirstParagraph"/>
      </w:pPr>
      <w:r>
        <w:t xml:space="preserve">This Peer Review Report serves as a formal assessment of the architectural practice, design methodologies, and professional conduct of the Architect under review. The evaluation focuses specifically on projects executed within the jurisdiction of Khartoum, Sudan. The primary objective of this review is to ensure that the Architect maintains the highest standards of technical proficiency, ethical responsibility, and contextual sensitivity required by the local regulatory framework and the broader architectural community.</w:t>
      </w:r>
    </w:p>
    <w:p>
      <w:pPr>
        <w:pStyle w:val="BodyText"/>
      </w:pPr>
      <w:r>
        <w:t xml:space="preserve">The review committee has examined a portfolio of recent works, including residential complexes, commercial developments, and public infrastructure projects located in the Greater Khartoum area. The assessment considers the unique environmental, cultural, and socio-economic challenges inherent to the region. The findings indicate a generally high level of competency, though specific areas regarding sustainable resource management and adherence to updated municipal zoning laws require attention.</w:t>
      </w:r>
    </w:p>
    <w:bookmarkEnd w:id="20"/>
    <w:bookmarkStart w:id="21" w:name="X3f1fe4b1376b4d0b8683fc0ddc9c977c08c6fe1"/>
    <w:p>
      <w:pPr>
        <w:pStyle w:val="Heading2"/>
      </w:pPr>
      <w:r>
        <w:t xml:space="preserve">2. Contextual Analysis: The Khartoum Environment</w:t>
      </w:r>
    </w:p>
    <w:p>
      <w:pPr>
        <w:pStyle w:val="FirstParagraph"/>
      </w:pPr>
      <w:r>
        <w:t xml:space="preserve">Practicing as an Architect in Sudan Khartoum demands a specialized understanding of the local climate and urban fabric. Khartoum is characterized by an arid to semi-arid climate, with extreme temperatures and significant dust loads. Therefore, a critical component of this Peer Review Report is the evaluation of how the Architect addresses passive cooling strategies and thermal comfort.</w:t>
      </w:r>
    </w:p>
    <w:p>
      <w:pPr>
        <w:pStyle w:val="BodyText"/>
      </w:pPr>
      <w:r>
        <w:t xml:space="preserve">The committee observed that the Architect has successfully integrated traditional Sudanese architectural elements—such as wind catchers (Malqaf) and thick masonry walls—into modern designs. This synthesis of vernacular wisdom with contemporary aesthetics is commendable. However, the report notes that in some high-density urban projects in the city center, the reliance on mechanical cooling systems has increased disproportionately. The Architect is advised to revisit passive design principles to reduce energy consumption, which is a critical concern given the current energy infrastructure challenges in Sudan.</w:t>
      </w:r>
    </w:p>
    <w:bookmarkEnd w:id="21"/>
    <w:bookmarkStart w:id="22" w:name="X16a5d89faf2ecf2aa650ca3d09b1e2fb277717e"/>
    <w:p>
      <w:pPr>
        <w:pStyle w:val="Heading2"/>
      </w:pPr>
      <w:r>
        <w:t xml:space="preserve">3. Technical Competency and Structural Integrity</w:t>
      </w:r>
    </w:p>
    <w:p>
      <w:pPr>
        <w:pStyle w:val="FirstParagraph"/>
      </w:pPr>
      <w:r>
        <w:t xml:space="preserve">The technical drawings and structural coordination documents submitted for review were analyzed for compliance with the Sudanese Building Code. The Architect demonstrated a robust understanding of load-bearing requirements and seismic considerations relevant to the region. The detailing of reinforced concrete structures, which is the predominant construction method in Khartoum, was found to be accurate and safe.</w:t>
      </w:r>
    </w:p>
    <w:p>
      <w:pPr>
        <w:pStyle w:val="BodyText"/>
      </w:pPr>
      <w:r>
        <w:t xml:space="preserve">Furthermore, the management of water resources was scrutinized. Given the proximity of the Blue and White Nile rivers and the issues of seasonal flooding in certain districts of Khartoum, the Architect’s approach to site grading and drainage was evaluated. The review confirms that the Architect consistently implements adequate flood mitigation strategies, ensuring the longevity and safety of the built environment.</w:t>
      </w:r>
    </w:p>
    <w:bookmarkEnd w:id="22"/>
    <w:bookmarkStart w:id="23" w:name="materiality-and-local-sourcing"/>
    <w:p>
      <w:pPr>
        <w:pStyle w:val="Heading2"/>
      </w:pPr>
      <w:r>
        <w:t xml:space="preserve">4. Materiality and Local Sourcing</w:t>
      </w:r>
    </w:p>
    <w:p>
      <w:pPr>
        <w:pStyle w:val="FirstParagraph"/>
      </w:pPr>
      <w:r>
        <w:t xml:space="preserve">A significant aspect of this Peer Review Report concerns the selection of building materials. The Architect is encouraged to prioritize locally sourced materials to support the Sudanese economy and reduce the carbon footprint associated with transportation. The review found that the Architect frequently utilizes local sandstone and brick, which not only aligns with the aesthetic identity of Khartoum but also provides excellent thermal mass.</w:t>
      </w:r>
    </w:p>
    <w:p>
      <w:pPr>
        <w:pStyle w:val="BodyText"/>
      </w:pPr>
      <w:r>
        <w:t xml:space="preserve">However, there is a noted over-reliance on imported finishing materials for luxury residential projects. While client demands often drive this, the Architect has a professional duty to educate clients on the benefits of local alternatives. The committee recommends that the Architect develop a curated list of high-quality local suppliers to present to clients during the design development phase.</w:t>
      </w:r>
    </w:p>
    <w:bookmarkEnd w:id="23"/>
    <w:bookmarkStart w:id="24" w:name="Xcec0cdfbf541da75d39637666249479350353d9"/>
    <w:p>
      <w:pPr>
        <w:pStyle w:val="Heading2"/>
      </w:pPr>
      <w:r>
        <w:t xml:space="preserve">5. Ethical Considerations and Professional Conduct</w:t>
      </w:r>
    </w:p>
    <w:p>
      <w:pPr>
        <w:pStyle w:val="FirstParagraph"/>
      </w:pPr>
      <w:r>
        <w:t xml:space="preserve">The ethical dimension of the Architect’s practice was assessed based on transparency, client relations, and community impact. The Architect has maintained a clean record regarding professional ethics, with no reported violations of the code of conduct established by the relevant architectural association in Sudan.</w:t>
      </w:r>
    </w:p>
    <w:p>
      <w:pPr>
        <w:pStyle w:val="BodyText"/>
      </w:pPr>
      <w:r>
        <w:t xml:space="preserve">The review also considered the social impact of the Architect’s work. In Khartoum, where rapid urbanization is leading to the displacement of informal settlements, the Architect’s role is pivotal. The committee notes that the Architect has engaged in several pro-bono projects aimed at improving community centers and educational facilities. This commitment to social responsibility enhances the reputation of the profession and contributes positively to the social fabric of Khartoum.</w:t>
      </w:r>
    </w:p>
    <w:bookmarkEnd w:id="24"/>
    <w:bookmarkStart w:id="25" w:name="recommendations-and-conclusions"/>
    <w:p>
      <w:pPr>
        <w:pStyle w:val="Heading2"/>
      </w:pPr>
      <w:r>
        <w:t xml:space="preserve">6. Recommendations and Conclusions</w:t>
      </w:r>
    </w:p>
    <w:p>
      <w:pPr>
        <w:pStyle w:val="FirstParagraph"/>
      </w:pPr>
      <w:r>
        <w:t xml:space="preserve">Based on the comprehensive analysis detailed in this Peer Review Report, the committee concludes that the Architect is fully competent to practice in Sudan Khartoum. The work demonstrates a strong grasp of technical requirements, a respect for the local climate, and a commitment to ethical practice.</w:t>
      </w:r>
    </w:p>
    <w:p>
      <w:pPr>
        <w:pStyle w:val="BodyText"/>
      </w:pPr>
      <w:r>
        <w:t xml:space="preserve">To further elevate the standard of practice, the following recommendations are made:</w:t>
      </w:r>
    </w:p>
    <w:p>
      <w:pPr>
        <w:numPr>
          <w:ilvl w:val="0"/>
          <w:numId w:val="1001"/>
        </w:numPr>
        <w:pStyle w:val="Compact"/>
      </w:pPr>
      <w:r>
        <w:rPr>
          <w:bCs/>
          <w:b/>
        </w:rPr>
        <w:t xml:space="preserve">Enhance Sustainability:</w:t>
      </w:r>
      <w:r>
        <w:t xml:space="preserve"> </w:t>
      </w:r>
      <w:r>
        <w:t xml:space="preserve">Integrate more rigorous energy modeling into the design process to minimize reliance on grid electricity.</w:t>
      </w:r>
    </w:p>
    <w:p>
      <w:pPr>
        <w:numPr>
          <w:ilvl w:val="0"/>
          <w:numId w:val="1001"/>
        </w:numPr>
        <w:pStyle w:val="Compact"/>
      </w:pPr>
      <w:r>
        <w:rPr>
          <w:bCs/>
          <w:b/>
        </w:rPr>
        <w:t xml:space="preserve">Urban Density Management:</w:t>
      </w:r>
      <w:r>
        <w:t xml:space="preserve"> </w:t>
      </w:r>
      <w:r>
        <w:t xml:space="preserve">Develop design guidelines for high-density housing that prioritize ventilation and communal green spaces, addressing the specific needs of Khartoum’s growing population.</w:t>
      </w:r>
    </w:p>
    <w:p>
      <w:pPr>
        <w:numPr>
          <w:ilvl w:val="0"/>
          <w:numId w:val="1001"/>
        </w:numPr>
        <w:pStyle w:val="Compact"/>
      </w:pPr>
      <w:r>
        <w:rPr>
          <w:bCs/>
          <w:b/>
        </w:rPr>
        <w:t xml:space="preserve">Documentation Standards:</w:t>
      </w:r>
      <w:r>
        <w:t xml:space="preserve"> </w:t>
      </w:r>
      <w:r>
        <w:t xml:space="preserve">Standardize the documentation process to ensure seamless handover to local contractors, reducing construction errors and waste.</w:t>
      </w:r>
    </w:p>
    <w:p>
      <w:pPr>
        <w:pStyle w:val="FirstParagraph"/>
      </w:pPr>
      <w:r>
        <w:t xml:space="preserve">This report serves as both an affirmation of the Architect’s capabilities and a roadmap for continuous improvement. By adhering to these recommendations, the Architect will continue to contribute significantly to the architectural heritage and future development of Sudan Khartoum.</w:t>
      </w:r>
    </w:p>
    <w:p>
      <w:pPr>
        <w:pStyle w:val="BodyText"/>
      </w:pPr>
      <w:r>
        <w:rPr>
          <w:bCs/>
          <w:b/>
        </w:rPr>
        <w:t xml:space="preserve">Reviewed By:</w:t>
      </w:r>
    </w:p>
    <w:p>
      <w:pPr>
        <w:pStyle w:val="BodyText"/>
      </w:pPr>
      <w:r>
        <w:t xml:space="preserve">Senior Architectural Reviewer</w:t>
      </w:r>
    </w:p>
    <w:p>
      <w:pPr>
        <w:pStyle w:val="BodyText"/>
      </w:pPr>
      <w:r>
        <w:t xml:space="preserve">Signature</w:t>
      </w:r>
    </w:p>
    <w:p>
      <w:pPr>
        <w:pStyle w:val="BodyText"/>
      </w:pPr>
      <w:r>
        <w:rPr>
          <w:bCs/>
          <w:b/>
        </w:rPr>
        <w:t xml:space="preserve">Approved By:</w:t>
      </w:r>
    </w:p>
    <w:p>
      <w:pPr>
        <w:pStyle w:val="BodyText"/>
      </w:pPr>
      <w:r>
        <w:t xml:space="preserve">Head of Peer Review Committee</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Sudan Khartoum</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