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Design</w:t>
      </w:r>
      <w:r>
        <w:t xml:space="preserve"> </w:t>
      </w:r>
      <w:r>
        <w:t xml:space="preserve">Compliance</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Compliance and Technical Assessment</w:t>
      </w:r>
    </w:p>
    <w:p>
      <w:pPr>
        <w:pStyle w:val="BodyText"/>
      </w:pPr>
      <w:r>
        <w:rPr>
          <w:bCs/>
          <w:b/>
        </w:rPr>
        <w:t xml:space="preserve">Jurisdiction:</w:t>
      </w:r>
      <w:r>
        <w:t xml:space="preserve"> </w:t>
      </w:r>
      <w:r>
        <w:t xml:space="preserve">United Arab Emirates, Abu Dhabi</w:t>
      </w:r>
    </w:p>
    <w:bookmarkEnd w:id="20"/>
    <w:p>
      <w:pPr>
        <w:pStyle w:val="BodyText"/>
      </w:pPr>
      <w:r>
        <w:rPr>
          <w:bCs/>
          <w:b/>
        </w:rPr>
        <w:t xml:space="preserve">Project Name:</w:t>
      </w:r>
      <w:r>
        <w:t xml:space="preserve"> </w:t>
      </w:r>
      <w:r>
        <w:t xml:space="preserve">Al Reem Island Mixed-Use Tower</w:t>
      </w:r>
    </w:p>
    <w:p>
      <w:pPr>
        <w:pStyle w:val="BodyText"/>
      </w:pPr>
      <w:r>
        <w:rPr>
          <w:bCs/>
          <w:b/>
        </w:rPr>
        <w:t xml:space="preserve">Reference No:</w:t>
      </w:r>
      <w:r>
        <w:t xml:space="preserve"> </w:t>
      </w:r>
      <w:r>
        <w:t xml:space="preserve">AD-PR-2023-8942</w:t>
      </w:r>
    </w:p>
    <w:p>
      <w:pPr>
        <w:pStyle w:val="BodyText"/>
      </w:pPr>
      <w:r>
        <w:rPr>
          <w:bCs/>
          <w:b/>
        </w:rPr>
        <w:t xml:space="preserve">Date:</w:t>
      </w:r>
      <w:r>
        <w:t xml:space="preserve"> </w:t>
      </w:r>
      <w:r>
        <w:t xml:space="preserve">October 24, 2023</w:t>
      </w:r>
    </w:p>
    <w:p>
      <w:pPr>
        <w:pStyle w:val="BodyText"/>
      </w:pPr>
      <w:r>
        <w:rPr>
          <w:bCs/>
          <w:b/>
        </w:rPr>
        <w:t xml:space="preserve">Stage:</w:t>
      </w:r>
      <w:r>
        <w:t xml:space="preserve"> </w:t>
      </w:r>
      <w:r>
        <w:t xml:space="preserve">Design Development (DD)</w:t>
      </w:r>
    </w:p>
    <w:p>
      <w:pPr>
        <w:pStyle w:val="BodyText"/>
      </w:pPr>
      <w:r>
        <w:rPr>
          <w:bCs/>
          <w:b/>
        </w:rPr>
        <w:t xml:space="preserve">Applicant:</w:t>
      </w:r>
      <w:r>
        <w:t xml:space="preserve"> </w:t>
      </w:r>
      <w:r>
        <w:t xml:space="preserve">Global Horizon Architects LLC</w:t>
      </w:r>
    </w:p>
    <w:p>
      <w:pPr>
        <w:pStyle w:val="BodyText"/>
      </w:pPr>
      <w:r>
        <w:rPr>
          <w:bCs/>
          <w:b/>
        </w:rPr>
        <w:t xml:space="preserve">Reviewer:</w:t>
      </w:r>
      <w:r>
        <w:t xml:space="preserve"> </w:t>
      </w:r>
      <w:r>
        <w:t xml:space="preserve">Dr. Ahmed Al-Mansoori, Senior Architect</w:t>
      </w:r>
    </w:p>
    <w:bookmarkStart w:id="21" w:name="executive-summary"/>
    <w:p>
      <w:pPr>
        <w:pStyle w:val="Heading2"/>
      </w:pPr>
      <w:r>
        <w:t xml:space="preserve">1. Executive Summary</w:t>
      </w:r>
    </w:p>
    <w:p>
      <w:pPr>
        <w:pStyle w:val="FirstParagraph"/>
      </w:pPr>
      <w:r>
        <w:t xml:space="preserve">This Peer Review Report has been commissioned to evaluate the architectural design submissions for the aforementioned project located in the Emirate of Abu Dhabi. The primary objective of this review is to ensure that the Architect's design intent aligns strictly with the regulatory frameworks established by the Department of Municipalities and Transport (DMT) Abu Dhabi, the Abu Dhabi Urban Planning Council (UPC), and the Civil Defense requirements.</w:t>
      </w:r>
    </w:p>
    <w:p>
      <w:pPr>
        <w:pStyle w:val="BodyText"/>
      </w:pPr>
      <w:r>
        <w:t xml:space="preserve">The review focuses on the technical integrity, sustainability compliance, and cultural appropriateness of the design. While the Architect has demonstrated a strong conceptual vision that respects the skyline of Abu Dhabi, several critical discrepancies regarding fire safety egress and energy efficiency standards (Estidama) have been identified. This document outlines the findings, technical observations, and mandatory recommendations required to proceed to the next stage of approval.</w:t>
      </w:r>
    </w:p>
    <w:bookmarkEnd w:id="21"/>
    <w:bookmarkStart w:id="22" w:name="regulatory-framework-and-standards"/>
    <w:p>
      <w:pPr>
        <w:pStyle w:val="Heading2"/>
      </w:pPr>
      <w:r>
        <w:t xml:space="preserve">2. Regulatory Framework and Standards</w:t>
      </w:r>
    </w:p>
    <w:p>
      <w:pPr>
        <w:pStyle w:val="FirstParagraph"/>
      </w:pPr>
      <w:r>
        <w:t xml:space="preserve">The assessment of the Architect's work is grounded in the following specific regulations applicable to the United Arab Emirates, Abu Dhabi:</w:t>
      </w:r>
    </w:p>
    <w:p>
      <w:pPr>
        <w:numPr>
          <w:ilvl w:val="0"/>
          <w:numId w:val="1001"/>
        </w:numPr>
        <w:pStyle w:val="Compact"/>
      </w:pPr>
      <w:r>
        <w:rPr>
          <w:bCs/>
          <w:b/>
        </w:rPr>
        <w:t xml:space="preserve">Abu Dhabi Building Code (ADBC):</w:t>
      </w:r>
      <w:r>
        <w:t xml:space="preserve"> </w:t>
      </w:r>
      <w:r>
        <w:t xml:space="preserve">Specifically regarding structural loads, accessibility, and building envelope performance.</w:t>
      </w:r>
    </w:p>
    <w:p>
      <w:pPr>
        <w:numPr>
          <w:ilvl w:val="0"/>
          <w:numId w:val="1001"/>
        </w:numPr>
        <w:pStyle w:val="Compact"/>
      </w:pPr>
      <w:r>
        <w:rPr>
          <w:bCs/>
          <w:b/>
        </w:rPr>
        <w:t xml:space="preserve">Estidama Pearl Rating System:</w:t>
      </w:r>
      <w:r>
        <w:t xml:space="preserve"> </w:t>
      </w:r>
      <w:r>
        <w:t xml:space="preserve">The project is required to achieve a minimum of 3 Pearl Rating for sustainability.</w:t>
      </w:r>
    </w:p>
    <w:p>
      <w:pPr>
        <w:numPr>
          <w:ilvl w:val="0"/>
          <w:numId w:val="1001"/>
        </w:numPr>
        <w:pStyle w:val="Compact"/>
      </w:pPr>
      <w:r>
        <w:rPr>
          <w:bCs/>
          <w:b/>
        </w:rPr>
        <w:t xml:space="preserve">Abu Dhabi Civil Defense Code:</w:t>
      </w:r>
      <w:r>
        <w:t xml:space="preserve"> </w:t>
      </w:r>
      <w:r>
        <w:t xml:space="preserve">Fire protection, life safety, and emergency evacuation protocols.</w:t>
      </w:r>
    </w:p>
    <w:p>
      <w:pPr>
        <w:numPr>
          <w:ilvl w:val="0"/>
          <w:numId w:val="1001"/>
        </w:numPr>
        <w:pStyle w:val="Compact"/>
      </w:pPr>
      <w:r>
        <w:rPr>
          <w:bCs/>
          <w:b/>
        </w:rPr>
        <w:t xml:space="preserve">UPC Design Guidelines:</w:t>
      </w:r>
      <w:r>
        <w:t xml:space="preserve"> </w:t>
      </w:r>
      <w:r>
        <w:t xml:space="preserve">Aesthetics, massing, and integration with the local urban fabric.</w:t>
      </w:r>
    </w:p>
    <w:bookmarkEnd w:id="22"/>
    <w:bookmarkStart w:id="27" w:name="detailed-technical-assessment"/>
    <w:p>
      <w:pPr>
        <w:pStyle w:val="Heading2"/>
      </w:pPr>
      <w:r>
        <w:t xml:space="preserve">3. Detailed Technical Assessment</w:t>
      </w:r>
    </w:p>
    <w:bookmarkStart w:id="23" w:name="architectural-design-and-massing"/>
    <w:p>
      <w:pPr>
        <w:pStyle w:val="Heading3"/>
      </w:pPr>
      <w:r>
        <w:t xml:space="preserve">3.1. Architectural Design and Massing</w:t>
      </w:r>
    </w:p>
    <w:p>
      <w:pPr>
        <w:pStyle w:val="FirstParagraph"/>
      </w:pPr>
      <w:r>
        <w:t xml:space="preserve">The Architect has proposed a high-rise structure with a podium base. The massing study indicates a respectful setback from the adjacent arterial roads, complying with the UPC height restrictions for the zone. The facade treatment utilizes local materials, which is commendable for maintaining the architectural identity of Abu Dhabi. However, the shading devices proposed on the west-facing elevation are insufficient to mitigate the intense solar heat gain typical of the UAE climate. The Architect must revise the facade design to incorporate deeper brise-soleil elements to reduce cooling loads.</w:t>
      </w:r>
    </w:p>
    <w:bookmarkEnd w:id="23"/>
    <w:bookmarkStart w:id="24" w:name="fire-safety-and-life-safety"/>
    <w:p>
      <w:pPr>
        <w:pStyle w:val="Heading3"/>
      </w:pPr>
      <w:r>
        <w:t xml:space="preserve">3.2. Fire Safety and Life Safety</w:t>
      </w:r>
    </w:p>
    <w:p>
      <w:pPr>
        <w:pStyle w:val="FirstParagraph"/>
      </w:pPr>
      <w:r>
        <w:t xml:space="preserve">A critical review of the floor plans reveals non-compliance with the Abu Dhabi Civil Defense Code regarding stairwell pressurization and exit widths. The Architect has designed the residential units with a single exit corridor that exceeds the maximum allowable travel distance. Furthermore, the separation distance between the residential tower and the adjacent commercial block is less than the required fire separation distance. Immediate revision of the circulation cores and building footprint is required to ensure life safety.</w:t>
      </w:r>
    </w:p>
    <w:bookmarkEnd w:id="24"/>
    <w:bookmarkStart w:id="25" w:name="sustainability-and-estidama-compliance"/>
    <w:p>
      <w:pPr>
        <w:pStyle w:val="Heading3"/>
      </w:pPr>
      <w:r>
        <w:t xml:space="preserve">3.3. Sustainability and Estidama Compliance</w:t>
      </w:r>
    </w:p>
    <w:p>
      <w:pPr>
        <w:pStyle w:val="FirstParagraph"/>
      </w:pPr>
      <w:r>
        <w:t xml:space="preserve">The current submission falls short of the mandatory 3 Pearl Rating. The Architect has not adequately addressed water conservation strategies. The landscape design relies heavily on potable water irrigation rather than treated sewage effluent (TSE), which is standard practice in Abu Dhabi. Additionally, the building envelope U-values are higher than permitted by the ADBC. The Architect must integrate high-performance glazing and enhanced insulation to meet the thermal performance criteria.</w:t>
      </w:r>
    </w:p>
    <w:bookmarkEnd w:id="25"/>
    <w:bookmarkStart w:id="26" w:name="accessibility-and-universal-design"/>
    <w:p>
      <w:pPr>
        <w:pStyle w:val="Heading3"/>
      </w:pPr>
      <w:r>
        <w:t xml:space="preserve">3.4. Accessibility and Universal Design</w:t>
      </w:r>
    </w:p>
    <w:p>
      <w:pPr>
        <w:pStyle w:val="FirstParagraph"/>
      </w:pPr>
      <w:r>
        <w:t xml:space="preserve">The design generally adheres to the accessibility standards for persons with disabilities. However, the transition levels at the main entrance lack the required tactile paving and ramp gradients as specified in the UAE Federal Law. The Architect must adjust the site grading and entrance design to ensure full compliance.</w:t>
      </w:r>
    </w:p>
    <w:bookmarkEnd w:id="26"/>
    <w:bookmarkEnd w:id="27"/>
    <w:bookmarkStart w:id="28" w:name="summary-of-findings-and-recommendations"/>
    <w:p>
      <w:pPr>
        <w:pStyle w:val="Heading2"/>
      </w:pPr>
      <w:r>
        <w:t xml:space="preserve">4. Summary of Findings and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Observation</w:t>
            </w:r>
          </w:p>
        </w:tc>
        <w:tc>
          <w:tcPr/>
          <w:p>
            <w:pPr>
              <w:pStyle w:val="Compact"/>
              <w:jc w:val="left"/>
            </w:pPr>
            <w:r>
              <w:t xml:space="preserve">Reference</w:t>
            </w:r>
          </w:p>
        </w:tc>
        <w:tc>
          <w:tcPr/>
          <w:p>
            <w:pPr>
              <w:pStyle w:val="Compact"/>
              <w:jc w:val="left"/>
            </w:pPr>
            <w:r>
              <w:t xml:space="preserve">Status</w:t>
            </w:r>
          </w:p>
        </w:tc>
      </w:tr>
      <w:tr>
        <w:tc>
          <w:tcPr/>
          <w:p>
            <w:pPr>
              <w:pStyle w:val="Compact"/>
              <w:jc w:val="left"/>
            </w:pPr>
            <w:r>
              <w:t xml:space="preserve">Facade Shading</w:t>
            </w:r>
          </w:p>
        </w:tc>
        <w:tc>
          <w:tcPr/>
          <w:p>
            <w:pPr>
              <w:pStyle w:val="Compact"/>
              <w:jc w:val="left"/>
            </w:pPr>
            <w:r>
              <w:t xml:space="preserve">Insufficient shading on west elevation.</w:t>
            </w:r>
          </w:p>
        </w:tc>
        <w:tc>
          <w:tcPr/>
          <w:p>
            <w:pPr>
              <w:pStyle w:val="Compact"/>
              <w:jc w:val="left"/>
            </w:pPr>
            <w:r>
              <w:t xml:space="preserve">ADBC / Estidama</w:t>
            </w:r>
          </w:p>
        </w:tc>
        <w:tc>
          <w:tcPr/>
          <w:p>
            <w:pPr>
              <w:pStyle w:val="Compact"/>
              <w:jc w:val="left"/>
            </w:pPr>
            <w:r>
              <w:t xml:space="preserve">Conditional</w:t>
            </w:r>
          </w:p>
        </w:tc>
      </w:tr>
      <w:tr>
        <w:tc>
          <w:tcPr/>
          <w:p>
            <w:pPr>
              <w:pStyle w:val="Compact"/>
              <w:jc w:val="left"/>
            </w:pPr>
            <w:r>
              <w:t xml:space="preserve">Fire Egress</w:t>
            </w:r>
          </w:p>
        </w:tc>
        <w:tc>
          <w:tcPr/>
          <w:p>
            <w:pPr>
              <w:pStyle w:val="Compact"/>
              <w:jc w:val="left"/>
            </w:pPr>
            <w:r>
              <w:t xml:space="preserve">Travel distance exceeds code limits.</w:t>
            </w:r>
          </w:p>
        </w:tc>
        <w:tc>
          <w:tcPr/>
          <w:p>
            <w:pPr>
              <w:pStyle w:val="Compact"/>
              <w:jc w:val="left"/>
            </w:pPr>
            <w:r>
              <w:t xml:space="preserve">Civil Defense Code</w:t>
            </w:r>
          </w:p>
        </w:tc>
        <w:tc>
          <w:tcPr/>
          <w:p>
            <w:pPr>
              <w:pStyle w:val="Compact"/>
              <w:jc w:val="left"/>
            </w:pPr>
            <w:r>
              <w:t xml:space="preserve">Fail</w:t>
            </w:r>
          </w:p>
        </w:tc>
      </w:tr>
      <w:tr>
        <w:tc>
          <w:tcPr/>
          <w:p>
            <w:pPr>
              <w:pStyle w:val="Compact"/>
              <w:jc w:val="left"/>
            </w:pPr>
            <w:r>
              <w:t xml:space="preserve">Water Usage</w:t>
            </w:r>
          </w:p>
        </w:tc>
        <w:tc>
          <w:tcPr/>
          <w:p>
            <w:pPr>
              <w:pStyle w:val="Compact"/>
              <w:jc w:val="left"/>
            </w:pPr>
            <w:r>
              <w:t xml:space="preserve">Landscape irrigation uses potable water.</w:t>
            </w:r>
          </w:p>
        </w:tc>
        <w:tc>
          <w:tcPr/>
          <w:p>
            <w:pPr>
              <w:pStyle w:val="Compact"/>
              <w:jc w:val="left"/>
            </w:pPr>
            <w:r>
              <w:t xml:space="preserve">Estidama</w:t>
            </w:r>
          </w:p>
        </w:tc>
        <w:tc>
          <w:tcPr/>
          <w:p>
            <w:pPr>
              <w:pStyle w:val="Compact"/>
              <w:jc w:val="left"/>
            </w:pPr>
            <w:r>
              <w:t xml:space="preserve">Fail</w:t>
            </w:r>
          </w:p>
        </w:tc>
      </w:tr>
      <w:tr>
        <w:tc>
          <w:tcPr/>
          <w:p>
            <w:pPr>
              <w:pStyle w:val="Compact"/>
              <w:jc w:val="left"/>
            </w:pPr>
            <w:r>
              <w:t xml:space="preserve">Massing</w:t>
            </w:r>
          </w:p>
        </w:tc>
        <w:tc>
          <w:tcPr/>
          <w:p>
            <w:pPr>
              <w:pStyle w:val="Compact"/>
              <w:jc w:val="left"/>
            </w:pPr>
            <w:r>
              <w:t xml:space="preserve">Complies with height and setback rules.</w:t>
            </w:r>
          </w:p>
        </w:tc>
        <w:tc>
          <w:tcPr/>
          <w:p>
            <w:pPr>
              <w:pStyle w:val="Compact"/>
              <w:jc w:val="left"/>
            </w:pPr>
            <w:r>
              <w:t xml:space="preserve">UPC Guidelines</w:t>
            </w:r>
          </w:p>
        </w:tc>
        <w:tc>
          <w:tcPr/>
          <w:p>
            <w:pPr>
              <w:pStyle w:val="Compact"/>
              <w:jc w:val="left"/>
            </w:pPr>
            <w:r>
              <w:t xml:space="preserve">Pass</w:t>
            </w:r>
          </w:p>
        </w:tc>
      </w:tr>
    </w:tbl>
    <w:bookmarkEnd w:id="28"/>
    <w:bookmarkStart w:id="29" w:name="conclusion"/>
    <w:p>
      <w:pPr>
        <w:pStyle w:val="Heading2"/>
      </w:pPr>
      <w:r>
        <w:t xml:space="preserve">5. Conclusion</w:t>
      </w:r>
    </w:p>
    <w:p>
      <w:pPr>
        <w:pStyle w:val="FirstParagraph"/>
      </w:pPr>
      <w:r>
        <w:t xml:space="preserve">Based on the comprehensive Peer Review Report conducted, the Architect's current submission is</w:t>
      </w:r>
      <w:r>
        <w:t xml:space="preserve"> </w:t>
      </w:r>
      <w:r>
        <w:rPr>
          <w:bCs/>
          <w:b/>
        </w:rPr>
        <w:t xml:space="preserve">Not Approved</w:t>
      </w:r>
      <w:r>
        <w:t xml:space="preserve"> </w:t>
      </w:r>
      <w:r>
        <w:t xml:space="preserve">in its present form. The design demonstrates potential but requires significant technical adjustments to meet the rigorous standards of the United Arab Emirates, Abu Dhabi.</w:t>
      </w:r>
    </w:p>
    <w:p>
      <w:pPr>
        <w:pStyle w:val="BodyText"/>
      </w:pPr>
      <w:r>
        <w:t xml:space="preserve">The Architect is required to address all "Fail" and "Conditional" items listed in Section 4. A revised submission, including updated drawings, energy modeling reports, and fire safety calculations, must be submitted for a second review. Once these deficiencies are rectified, the project may proceed toward final building permit issuance.</w:t>
      </w:r>
    </w:p>
    <w:p>
      <w:pPr>
        <w:pStyle w:val="BodyText"/>
      </w:pPr>
      <w:r>
        <w:rPr>
          <w:bCs/>
          <w:b/>
        </w:rPr>
        <w:t xml:space="preserve">Dr. Ahmed Al-Mansoori</w:t>
      </w:r>
      <w:r>
        <w:br/>
      </w:r>
      <w:r>
        <w:t xml:space="preserve">Lead Peer Reviewer</w:t>
      </w:r>
      <w:r>
        <w:br/>
      </w:r>
      <w:r>
        <w:t xml:space="preserve">Abu Dhabi Municipality</w:t>
      </w:r>
    </w:p>
    <w:p>
      <w:pPr>
        <w:pStyle w:val="BodyText"/>
      </w:pPr>
      <w:r>
        <w:rPr>
          <w:bCs/>
          <w:b/>
        </w:rPr>
        <w:t xml:space="preserve">Project Architect</w:t>
      </w:r>
      <w:r>
        <w:br/>
      </w:r>
      <w:r>
        <w:t xml:space="preserve">Global Horizon Architects LLC</w:t>
      </w:r>
      <w:r>
        <w:br/>
      </w:r>
      <w:r>
        <w:t xml:space="preserve">Date of Receipt: _______________</w:t>
      </w:r>
    </w:p>
    <w:p>
      <w:pPr>
        <w:pStyle w:val="BodyText"/>
      </w:pPr>
      <w:r>
        <w:t xml:space="preserve">© 2023 Abu Dhabi Department of Municipalities and Transport. All rights reserved. This document is confidential and intended solely for the use of the addressee.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Design Compliance - Abu Dhabi, UAE</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