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Dubai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Architectural Design and Regulatory Compliance Assessment</w:t>
      </w:r>
    </w:p>
    <w:p>
      <w:pPr>
        <w:pStyle w:val="BodyText"/>
      </w:pPr>
      <w:r>
        <w:rPr>
          <w:bCs/>
          <w:b/>
        </w:rPr>
        <w:t xml:space="preserve">Location:</w:t>
      </w:r>
      <w:r>
        <w:t xml:space="preserve"> </w:t>
      </w:r>
      <w:r>
        <w:t xml:space="preserve">United Arab Emirates, Dubai</w:t>
      </w:r>
    </w:p>
    <w:p>
      <w:pPr>
        <w:pStyle w:val="BodyText"/>
      </w:pPr>
      <w:r>
        <w:rPr>
          <w:bCs/>
          <w:b/>
        </w:rPr>
        <w:t xml:space="preserve">Date:</w:t>
      </w:r>
      <w:r>
        <w:t xml:space="preserve"> </w:t>
      </w:r>
      <w:r>
        <w:t xml:space="preserve">October 24, 2023</w:t>
      </w:r>
    </w:p>
    <w:p>
      <w:pPr>
        <w:pStyle w:val="BodyText"/>
      </w:pPr>
      <w:r>
        <w:rPr>
          <w:bCs/>
          <w:b/>
        </w:rPr>
        <w:t xml:space="preserve">Reference No:</w:t>
      </w:r>
      <w:r>
        <w:t xml:space="preserve"> </w:t>
      </w:r>
      <w:r>
        <w:t xml:space="preserve">PR-DXB-2023-089</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architectural design proposals, technical documentation, and regulatory compliance of a proposed development project located within the jurisdiction of the United Arab Emirates, specifically Dubai. The review is conducted by an independent panel of senior Architects and engineering consultants to ensure that the design meets the rigorous standards set forth by the Dubai Municipality (DM) and the Dubai Urban Planning Council (DUPC).</w:t>
      </w:r>
    </w:p>
    <w:p>
      <w:pPr>
        <w:pStyle w:val="BodyText"/>
      </w:pPr>
      <w:r>
        <w:t xml:space="preserve">The primary objective of this review is to assess the architectural integrity, sustainability, safety, and cultural relevance of the project. As the built environment in Dubai continues to evolve, the role of the Architect is pivotal in balancing aesthetic ambition with functional necessity and strict regulatory adherence. This report serves as a critical checkpoint before the submission of final building permits.</w:t>
      </w:r>
    </w:p>
    <w:bookmarkEnd w:id="21"/>
    <w:bookmarkStart w:id="22" w:name="regulatory-compliance-and-standards"/>
    <w:p>
      <w:pPr>
        <w:pStyle w:val="Heading2"/>
      </w:pPr>
      <w:r>
        <w:t xml:space="preserve">2. Regulatory Compliance and Standards</w:t>
      </w:r>
    </w:p>
    <w:p>
      <w:pPr>
        <w:pStyle w:val="FirstParagraph"/>
      </w:pPr>
      <w:r>
        <w:t xml:space="preserve">The Architect’s design has been scrutinized against the current Dubai Building Code and the specific zoning regulations applicable to the project site. A key focus of this Peer Review Report is the alignment with the Dubai Municipality’s latest guidelines regarding plot ratios, building heights, and setbacks.</w:t>
      </w:r>
    </w:p>
    <w:p>
      <w:pPr>
        <w:pStyle w:val="BodyText"/>
      </w:pPr>
      <w:r>
        <w:t xml:space="preserve">In the context of the United Arab Emirates Dubai, compliance is not merely a formality but a legal requirement. The review confirms that the Architect has adequately addressed the requirements for fire and life safety systems, ensuring that evacuation routes, stairwell dimensions, and fire-rated materials meet the stringent codes enforced by the Civil Defense. Furthermore, the design has been evaluated for accessibility, ensuring full compliance with the Dubai Accessibility Code, which mandates barrier-free access for persons of determination throughout the facility.</w:t>
      </w:r>
    </w:p>
    <w:bookmarkEnd w:id="22"/>
    <w:bookmarkStart w:id="23" w:name="architectural-design-and-aesthetics"/>
    <w:p>
      <w:pPr>
        <w:pStyle w:val="Heading2"/>
      </w:pPr>
      <w:r>
        <w:t xml:space="preserve">3. Architectural Design and Aesthetics</w:t>
      </w:r>
    </w:p>
    <w:p>
      <w:pPr>
        <w:pStyle w:val="FirstParagraph"/>
      </w:pPr>
      <w:r>
        <w:t xml:space="preserve">The architectural concept proposed by the Architect demonstrates a sophisticated understanding of the local context. The design language attempts to harmonize contemporary architectural trends with the rich cultural heritage of the United Arab Emirates. The use of geometric patterns inspired by traditional Islamic architecture is evident in the façade treatment, providing a sense of place that is distinct to Dubai.</w:t>
      </w:r>
    </w:p>
    <w:p>
      <w:pPr>
        <w:pStyle w:val="BodyText"/>
      </w:pPr>
      <w:r>
        <w:t xml:space="preserve">However, the Peer Review Report notes that while the massing is visually striking, the transition between the podium and the tower requires further refinement to ensure visual coherence. The Architect is advised to reconsider the material palette for the lower levels to ensure durability against the harsh coastal environment typical of Dubai. The selection of materials must resist salt corrosion and withstand high temperatures without significant degradation or discoloration over time.</w:t>
      </w:r>
    </w:p>
    <w:bookmarkEnd w:id="23"/>
    <w:bookmarkStart w:id="24" w:name="X21b9cf0ed2648f2ed3456d78209be72e57d88e3"/>
    <w:p>
      <w:pPr>
        <w:pStyle w:val="Heading2"/>
      </w:pPr>
      <w:r>
        <w:t xml:space="preserve">4. Sustainability and Environmental Performance</w:t>
      </w:r>
    </w:p>
    <w:p>
      <w:pPr>
        <w:pStyle w:val="FirstParagraph"/>
      </w:pPr>
      <w:r>
        <w:t xml:space="preserve">Sustainability is a cornerstone of modern development in the United Arab Emirates Dubai. This Peer Review Report evaluates the project against the Al Sa’fat Green Building System, the local rating tool developed by the Dubai Supreme Council of Energy. The Architect has integrated several passive design strategies, including optimized building orientation to minimize solar heat gain and the use of high-performance glazing.</w:t>
      </w:r>
    </w:p>
    <w:p>
      <w:pPr>
        <w:pStyle w:val="BodyText"/>
      </w:pPr>
      <w:r>
        <w:t xml:space="preserve">The review highlights that the proposed energy modeling indicates a potential rating of "Silver" under the Al Sa’fat system. To achieve a higher rating, the Architect should consider increasing the capacity of the photovoltaic array on the roof and integrating more advanced building management systems (BMS) for real-time energy monitoring. Additionally, water conservation strategies, such as greywater recycling and the use of drought-resistant landscaping, are present but could be enhanced to align with the broader sustainability goals of the city.</w:t>
      </w:r>
    </w:p>
    <w:bookmarkEnd w:id="24"/>
    <w:bookmarkStart w:id="25" w:name="technical-documentation-and-coordination"/>
    <w:p>
      <w:pPr>
        <w:pStyle w:val="Heading2"/>
      </w:pPr>
      <w:r>
        <w:t xml:space="preserve">5. Technical Documentation and Coordination</w:t>
      </w:r>
    </w:p>
    <w:p>
      <w:pPr>
        <w:pStyle w:val="FirstParagraph"/>
      </w:pPr>
      <w:r>
        <w:t xml:space="preserve">The quality of the technical documentation prepared by the Architect is a critical component of this Peer Review Report. The drawings and specifications have been reviewed for clarity, completeness, and coordination with other engineering disciplines. While the architectural drawings are generally well-detailed, there are discrepancies between the reflected ceiling plans and the MEP (Mechanical, Electrical, and Plumbing) layouts.</w:t>
      </w:r>
    </w:p>
    <w:p>
      <w:pPr>
        <w:pStyle w:val="BodyText"/>
      </w:pPr>
      <w:r>
        <w:t xml:space="preserve">In the fast-paced construction environment of Dubai, such discrepancies can lead to significant delays and cost overruns. The Architect is required to conduct a comprehensive clash detection exercise using Building Information Modeling (BIM) software. This is essential to ensure that all systems are integrated seamlessly before construction begins. The report emphasizes that the Architect must maintain a centralized BIM model to facilitate better collaboration with structural and MEP consultants.</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in this Peer Review Report, the Architect’s design is fundamentally sound and demonstrates a high level of professionalism. However, several areas require attention to ensure full compliance and optimal performance. The key recommendations are as follows:</w:t>
      </w:r>
    </w:p>
    <w:p>
      <w:pPr>
        <w:numPr>
          <w:ilvl w:val="0"/>
          <w:numId w:val="1001"/>
        </w:numPr>
        <w:pStyle w:val="Compact"/>
      </w:pPr>
      <w:r>
        <w:t xml:space="preserve">Refine the façade design to improve thermal performance and durability against the coastal climate of Dubai.</w:t>
      </w:r>
    </w:p>
    <w:p>
      <w:pPr>
        <w:numPr>
          <w:ilvl w:val="0"/>
          <w:numId w:val="1001"/>
        </w:numPr>
        <w:pStyle w:val="Compact"/>
      </w:pPr>
      <w:r>
        <w:t xml:space="preserve">Enhance sustainability measures to target a higher Al Sa’fat rating.</w:t>
      </w:r>
    </w:p>
    <w:p>
      <w:pPr>
        <w:numPr>
          <w:ilvl w:val="0"/>
          <w:numId w:val="1001"/>
        </w:numPr>
        <w:pStyle w:val="Compact"/>
      </w:pPr>
      <w:r>
        <w:t xml:space="preserve">Resolve discrepancies between architectural and MEP drawings through rigorous BIM coordination.</w:t>
      </w:r>
    </w:p>
    <w:p>
      <w:pPr>
        <w:numPr>
          <w:ilvl w:val="0"/>
          <w:numId w:val="1001"/>
        </w:numPr>
        <w:pStyle w:val="Compact"/>
      </w:pPr>
      <w:r>
        <w:t xml:space="preserve">Ensure all fire safety and accessibility features are explicitly detailed in the final construction documents.</w:t>
      </w:r>
    </w:p>
    <w:p>
      <w:pPr>
        <w:pStyle w:val="FirstParagraph"/>
      </w:pPr>
      <w:r>
        <w:t xml:space="preserve">In conclusion, this Peer Review Report affirms that the Architect is on the right track but must address the noted issues before proceeding to the next phase of approval. The development of the United Arab Emirates Dubai relies on the commitment of professionals to deliver projects that are not only visually impressive but also safe, sustainable, and compliant with the highest standards.</w:t>
      </w:r>
    </w:p>
    <w:bookmarkEnd w:id="26"/>
    <w:p>
      <w:pPr>
        <w:pStyle w:val="BodyText"/>
      </w:pPr>
      <w:r>
        <w:rPr>
          <w:bCs/>
          <w:b/>
        </w:rPr>
        <w:t xml:space="preserve">Prepared by:</w:t>
      </w:r>
    </w:p>
    <w:p>
      <w:pPr>
        <w:pStyle w:val="BodyText"/>
      </w:pPr>
      <w:r>
        <w:t xml:space="preserve">Senior Architectural Review Panel</w:t>
      </w:r>
    </w:p>
    <w:p>
      <w:pPr>
        <w:pStyle w:val="BodyText"/>
      </w:pPr>
      <w:r>
        <w:t xml:space="preserve">Independent Consulting Firm</w:t>
      </w:r>
    </w:p>
    <w:p>
      <w:pPr>
        <w:pStyle w:val="BodyText"/>
      </w:pPr>
      <w:r>
        <w:t xml:space="preserve">Dubai, United Arab Emirates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Architectural Practice in Dubai</dc:title>
  <dc:creator/>
  <dc:language>en</dc:language>
  <cp:keywords/>
  <dcterms:created xsi:type="dcterms:W3CDTF">2026-10-10T10:04:22Z</dcterms:created>
  <dcterms:modified xsi:type="dcterms:W3CDTF">2026-10-10T10:04:22Z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