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Practice of an Architect</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practice, technical competence, and regulatory compliance of a practicing Architect based in the United Kingdom London. The purpose of this review is to ensure that the Architect maintains the highest standards expected by the Royal Institute of British Architects (RIBA), the Architects Registration Board (ARB), and local planning authorities within Greater London.</w:t>
      </w:r>
    </w:p>
    <w:p>
      <w:pPr>
        <w:pStyle w:val="BodyText"/>
      </w:pPr>
      <w:r>
        <w:t xml:space="preserve">The review focuses on recent projects executed within the London boroughs, assessing design quality, adherence to the Building Regulations 2010 (as amended), and compliance with the London Plan. This document serves as a formal record of the peer assessment process, highlighting strengths, identifying areas for improvement, and ensuring the Architect remains fit to practice in the complex regulatory environment of the capital.</w:t>
      </w:r>
    </w:p>
    <w:bookmarkEnd w:id="21"/>
    <w:bookmarkStart w:id="22" w:name="X8643c130920d25abe294435a3c5001d6cfcba74"/>
    <w:p>
      <w:pPr>
        <w:pStyle w:val="Heading2"/>
      </w:pPr>
      <w:r>
        <w:t xml:space="preserve">2. Regulatory Compliance and Professional Standards</w:t>
      </w:r>
    </w:p>
    <w:p>
      <w:pPr>
        <w:pStyle w:val="FirstParagraph"/>
      </w:pPr>
      <w:r>
        <w:t xml:space="preserve">In the context of the United Kingdom London, an Architect must navigate a dense framework of statutory requirements. The peer review panel examined the Architect’s adherence to the Building Safety Act 2022, which has significantly altered the responsibilities of the "Accountable Person" and the design team for higher-risk buildings.</w:t>
      </w:r>
    </w:p>
    <w:p>
      <w:pPr>
        <w:pStyle w:val="BodyText"/>
      </w:pPr>
      <w:r>
        <w:t xml:space="preserve">The Architect demonstrated a robust understanding of the Golden Thread of information, ensuring that digital records are maintained accurately for building safety. Furthermore, the review assessed compliance with the London Plan, specifically regarding spatial standards, biodiversity net gain, and the Mayor’s Climate Change Strategy. The Architect’s practice showed a commendable commitment to reducing embodied carbon in construction materials, aligning with London’s target to become a net-zero city by 2030.</w:t>
      </w:r>
    </w:p>
    <w:p>
      <w:pPr>
        <w:pStyle w:val="BodyText"/>
      </w:pPr>
      <w:r>
        <w:t xml:space="preserve">Professional indemnity insurance levels were verified to meet the minimum requirements set by the ARB and RIBA for the scale of projects undertaken in London. The Architect’s code of conduct was found to be in strict alignment with the RIBA Code of Professional Conduct, ensuring ethical engagement with clients, contractors, and the public.</w:t>
      </w:r>
    </w:p>
    <w:bookmarkEnd w:id="22"/>
    <w:bookmarkStart w:id="23" w:name="X9e6140fbe196bb41b89ebad9602b847d61d9a98"/>
    <w:p>
      <w:pPr>
        <w:pStyle w:val="Heading2"/>
      </w:pPr>
      <w:r>
        <w:t xml:space="preserve">3. Design Quality and Contextual Sensitivity</w:t>
      </w:r>
    </w:p>
    <w:p>
      <w:pPr>
        <w:pStyle w:val="FirstParagraph"/>
      </w:pPr>
      <w:r>
        <w:t xml:space="preserve">A critical aspect of practicing as an Architect in the United Kingdom London is the ability to design within a historically rich and visually diverse urban fabric. The peer review evaluated several residential and commercial projects located in conservation areas and zones of high architectural significance.</w:t>
      </w:r>
    </w:p>
    <w:p>
      <w:pPr>
        <w:pStyle w:val="BodyText"/>
      </w:pPr>
      <w:r>
        <w:t xml:space="preserve">The Architect displayed a sophisticated approach to contextual design. Rather than imposing generic solutions, the designs responded thoughtfully to the grain, scale, and materiality of the surrounding London streetscape. The use of local materials and traditional detailing was noted as a strength, particularly in projects within the City of London and Westminster. This sensitivity is crucial for gaining planning permission from London borough councils, which are increasingly protective of local character.</w:t>
      </w:r>
    </w:p>
    <w:p>
      <w:pPr>
        <w:pStyle w:val="BodyText"/>
      </w:pPr>
      <w:r>
        <w:t xml:space="preserve">However, the review noted that while aesthetic quality is high, the integration of modern sustainable technologies sometimes compromises the visual coherence of the façade. The Architect is advised to further refine the detailing of renewable energy installations to ensure they are seamlessly integrated into the architectural composition.</w:t>
      </w:r>
    </w:p>
    <w:bookmarkEnd w:id="23"/>
    <w:bookmarkStart w:id="24" w:name="X11040cc607b131a0a6f8b87cc520f7445a78ab0"/>
    <w:p>
      <w:pPr>
        <w:pStyle w:val="Heading2"/>
      </w:pPr>
      <w:r>
        <w:t xml:space="preserve">4. Technical Competence and Project Management</w:t>
      </w:r>
    </w:p>
    <w:p>
      <w:pPr>
        <w:pStyle w:val="FirstParagraph"/>
      </w:pPr>
      <w:r>
        <w:t xml:space="preserve">The technical proficiency of the Architect was assessed through a detailed examination of construction drawings, specifications, and site supervision records. The Architect demonstrated a thorough knowledge of UK construction methods and the specific challenges associated with building in London, such as ground conditions, party wall matters, and tight site access.</w:t>
      </w:r>
    </w:p>
    <w:p>
      <w:pPr>
        <w:pStyle w:val="BodyText"/>
      </w:pPr>
      <w:r>
        <w:t xml:space="preserve">Project management capabilities were found to be strong. The Architect effectively coordinated with structural engineers, M&amp;E consultants, and quantity surveyors, ensuring that projects remained within budget and on schedule. The use of Building Information Modelling (BIM) at Level 2 was evident, facilitating better collaboration and clash detection during the design development phase.</w:t>
      </w:r>
    </w:p>
    <w:p>
      <w:pPr>
        <w:pStyle w:val="BodyText"/>
      </w:pPr>
      <w:r>
        <w:t xml:space="preserve">One area for improvement identified during the peer review is the documentation of health and safety considerations during the design stage. While the Architect complies with the Construction (Design and Management) Regulations 2015 (CDM), the pre-construction information packs could be more comprehensive, particularly regarding the demolition of existing structures common in London renovation projects.</w:t>
      </w:r>
    </w:p>
    <w:bookmarkEnd w:id="24"/>
    <w:bookmarkStart w:id="25" w:name="sustainability-and-environmental-impact"/>
    <w:p>
      <w:pPr>
        <w:pStyle w:val="Heading2"/>
      </w:pPr>
      <w:r>
        <w:t xml:space="preserve">5. Sustainability and Environmental Impact</w:t>
      </w:r>
    </w:p>
    <w:p>
      <w:pPr>
        <w:pStyle w:val="FirstParagraph"/>
      </w:pPr>
      <w:r>
        <w:t xml:space="preserve">Given the United Kingdom London’s aggressive environmental targets, sustainability is a non-negotiable aspect of architectural practice. The peer review found that the Architect actively pursues BREEAM Excellent ratings for new builds and retrofit projects. Strategies for passive design, natural ventilation, and high-performance insulation were well-executed.</w:t>
      </w:r>
    </w:p>
    <w:p>
      <w:pPr>
        <w:pStyle w:val="BodyText"/>
      </w:pPr>
      <w:r>
        <w:t xml:space="preserve">The Architect’s commitment to the London Plan’s requirements for sustainable drainage systems (SuDS) and green roofs was evident. However, the review recommends a deeper engagement with whole-life carbon assessment tools to better quantify and reduce the operational and embodied carbon of future projects.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confirms that the Architect maintains a high standard of professional practice suitable for the demands of the United Kingdom London market. The Architect demonstrates strong design skills, technical competence, and a commitment to regulatory compliance and sustainability.</w:t>
      </w:r>
    </w:p>
    <w:p>
      <w:pPr>
        <w:pStyle w:val="BodyText"/>
      </w:pPr>
      <w:r>
        <w:t xml:space="preserve">Key recommendations include:</w:t>
      </w:r>
    </w:p>
    <w:p>
      <w:pPr>
        <w:numPr>
          <w:ilvl w:val="0"/>
          <w:numId w:val="1001"/>
        </w:numPr>
        <w:pStyle w:val="Compact"/>
      </w:pPr>
      <w:r>
        <w:t xml:space="preserve">Enhance the integration of renewable technologies into façade design.</w:t>
      </w:r>
    </w:p>
    <w:p>
      <w:pPr>
        <w:numPr>
          <w:ilvl w:val="0"/>
          <w:numId w:val="1001"/>
        </w:numPr>
        <w:pStyle w:val="Compact"/>
      </w:pPr>
      <w:r>
        <w:t xml:space="preserve">Strengthen CDM documentation, particularly for demolition and refurbishment projects.</w:t>
      </w:r>
    </w:p>
    <w:p>
      <w:pPr>
        <w:numPr>
          <w:ilvl w:val="0"/>
          <w:numId w:val="1001"/>
        </w:numPr>
        <w:pStyle w:val="Compact"/>
      </w:pPr>
      <w:r>
        <w:t xml:space="preserve">Adopt advanced whole-life carbon assessment methodologies.</w:t>
      </w:r>
    </w:p>
    <w:p>
      <w:pPr>
        <w:pStyle w:val="FirstParagraph"/>
      </w:pPr>
      <w:r>
        <w:t xml:space="preserve">By addressing these points, the Architect will further solidify their reputation as a leading professional in the London architectural community.</w:t>
      </w:r>
    </w:p>
    <w:bookmarkEnd w:id="26"/>
    <w:p>
      <w:pPr>
        <w:pStyle w:val="BodyText"/>
      </w:pPr>
      <w:r>
        <w:rPr>
          <w:bCs/>
          <w:b/>
        </w:rPr>
        <w:t xml:space="preserve">Reviewed by:</w:t>
      </w:r>
    </w:p>
    <w:p>
      <w:pPr>
        <w:pStyle w:val="BodyText"/>
      </w:pPr>
      <w:r>
        <w:t xml:space="preserve">Senior Peer Reviewer</w:t>
      </w:r>
    </w:p>
    <w:p>
      <w:pPr>
        <w:pStyle w:val="BodyText"/>
      </w:pPr>
      <w:r>
        <w:t xml:space="preserve">RIBA Chartered Architect</w:t>
      </w:r>
    </w:p>
    <w:p>
      <w:pPr>
        <w:pStyle w:val="BodyText"/>
      </w:pPr>
      <w:r>
        <w:t xml:space="preserve">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 - United Kingdom London</dc:title>
  <dc:creator/>
  <dc:language>en</dc:language>
  <cp:keywords/>
  <dcterms:created xsi:type="dcterms:W3CDTF">2026-10-10T09:13:19Z</dcterms:created>
  <dcterms:modified xsi:type="dcterms:W3CDTF">2026-10-10T09:13:19Z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