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Standards of the Architect</w:t>
      </w:r>
    </w:p>
    <w:p>
      <w:pPr>
        <w:pStyle w:val="BodyText"/>
      </w:pPr>
      <w:r>
        <w:rPr>
          <w:bCs/>
          <w:b/>
        </w:rPr>
        <w:t xml:space="preserve">Location:</w:t>
      </w:r>
      <w:r>
        <w:t xml:space="preserve"> </w:t>
      </w:r>
      <w:r>
        <w:t xml:space="preserve">United Kingdom Manchester</w:t>
      </w:r>
    </w:p>
    <w:bookmarkEnd w:id="20"/>
    <w:p>
      <w:pPr>
        <w:pStyle w:val="BodyText"/>
      </w:pPr>
      <w:r>
        <w:rPr>
          <w:bCs/>
          <w:b/>
        </w:rPr>
        <w:t xml:space="preserve">Review Date:</w:t>
      </w:r>
      <w:r>
        <w:t xml:space="preserve"> </w:t>
      </w:r>
      <w:r>
        <w:t xml:space="preserve">October 24, 2023</w:t>
      </w:r>
    </w:p>
    <w:p>
      <w:pPr>
        <w:pStyle w:val="BodyText"/>
      </w:pPr>
      <w:r>
        <w:rPr>
          <w:bCs/>
          <w:b/>
        </w:rPr>
        <w:t xml:space="preserve">Report Reference:</w:t>
      </w:r>
      <w:r>
        <w:t xml:space="preserve"> </w:t>
      </w:r>
      <w:r>
        <w:t xml:space="preserve">PR-MCR-2023-089</w:t>
      </w:r>
    </w:p>
    <w:p>
      <w:pPr>
        <w:pStyle w:val="BodyText"/>
      </w:pPr>
      <w:r>
        <w:rPr>
          <w:bCs/>
          <w:b/>
        </w:rPr>
        <w:t xml:space="preserve">Architect Reviewed:</w:t>
      </w:r>
      <w:r>
        <w:t xml:space="preserve"> </w:t>
      </w:r>
      <w:r>
        <w:t xml:space="preserve">[Name of Architect / Practice]</w:t>
      </w:r>
    </w:p>
    <w:p>
      <w:pPr>
        <w:pStyle w:val="BodyText"/>
      </w:pPr>
      <w:r>
        <w:rPr>
          <w:bCs/>
          <w:b/>
        </w:rPr>
        <w:t xml:space="preserve">Reviewing Body:</w:t>
      </w:r>
      <w:r>
        <w:t xml:space="preserve"> </w:t>
      </w:r>
      <w:r>
        <w:t xml:space="preserve">Manchester Architecture Peer Panel</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standards, technical proficiency, and ethical compliance of the</w:t>
      </w:r>
      <w:r>
        <w:t xml:space="preserve"> </w:t>
      </w:r>
      <w:r>
        <w:rPr>
          <w:bCs/>
          <w:b/>
        </w:rPr>
        <w:t xml:space="preserve">Architect</w:t>
      </w:r>
      <w:r>
        <w:t xml:space="preserve"> </w:t>
      </w:r>
      <w:r>
        <w:t xml:space="preserve">operating within the</w:t>
      </w:r>
      <w:r>
        <w:t xml:space="preserve"> </w:t>
      </w:r>
      <w:r>
        <w:rPr>
          <w:bCs/>
          <w:b/>
        </w:rPr>
        <w:t xml:space="preserve">United Kingdom Manchester</w:t>
      </w:r>
      <w:r>
        <w:t xml:space="preserve"> </w:t>
      </w:r>
      <w:r>
        <w:t xml:space="preserve">region. The review is conducted in accordance with the guidelines set forth by the Royal Institute of British Architects (RIBA) and the Architects Registration Board (ARB). The primary objective is to ensure that the Architect's practice aligns with the rigorous expectations of the built environment sector in this specific locale.</w:t>
      </w:r>
    </w:p>
    <w:p>
      <w:pPr>
        <w:pStyle w:val="BodyText"/>
      </w:pPr>
      <w:r>
        <w:t xml:space="preserve">Manchester, as a rapidly evolving urban center within the United Kingdom, presents unique challenges regarding heritage conservation, high-density regeneration, and sustainable development. Consequently, this report assesses how effectively the Architect navigates these local complexities while maintaining national standards of safety and design excellence.</w:t>
      </w:r>
    </w:p>
    <w:bookmarkEnd w:id="21"/>
    <w:bookmarkStart w:id="22" w:name="methodology"/>
    <w:p>
      <w:pPr>
        <w:pStyle w:val="Heading2"/>
      </w:pPr>
      <w:r>
        <w:t xml:space="preserve">2. Methodology</w:t>
      </w:r>
    </w:p>
    <w:p>
      <w:pPr>
        <w:pStyle w:val="FirstParagraph"/>
      </w:pPr>
      <w:r>
        <w:t xml:space="preserve">The peer review process involved a comprehensive analysis of three recent projects located in Greater Manchester. The methodology included:</w:t>
      </w:r>
    </w:p>
    <w:p>
      <w:pPr>
        <w:numPr>
          <w:ilvl w:val="0"/>
          <w:numId w:val="1001"/>
        </w:numPr>
        <w:pStyle w:val="Compact"/>
      </w:pPr>
      <w:r>
        <w:t xml:space="preserve">Site visits to active construction zones to observe site management and quality control.</w:t>
      </w:r>
    </w:p>
    <w:p>
      <w:pPr>
        <w:numPr>
          <w:ilvl w:val="0"/>
          <w:numId w:val="1001"/>
        </w:numPr>
        <w:pStyle w:val="Compact"/>
      </w:pPr>
      <w:r>
        <w:t xml:space="preserve">Scrutiny of design documentation, including Building Regulations compliance and planning submissions.</w:t>
      </w:r>
    </w:p>
    <w:p>
      <w:pPr>
        <w:numPr>
          <w:ilvl w:val="0"/>
          <w:numId w:val="1001"/>
        </w:numPr>
        <w:pStyle w:val="Compact"/>
      </w:pPr>
      <w:r>
        <w:t xml:space="preserve">Interviews with stakeholders, including local planning authorities and structural engineers.</w:t>
      </w:r>
    </w:p>
    <w:p>
      <w:pPr>
        <w:numPr>
          <w:ilvl w:val="0"/>
          <w:numId w:val="1001"/>
        </w:numPr>
        <w:pStyle w:val="Compact"/>
      </w:pPr>
      <w:r>
        <w:t xml:space="preserve">A detailed review of the Architect's Continuing Professional Development (CPD) records.</w:t>
      </w:r>
    </w:p>
    <w:bookmarkEnd w:id="22"/>
    <w:bookmarkStart w:id="23" w:name="assessment-of-design-quality-and-context"/>
    <w:p>
      <w:pPr>
        <w:pStyle w:val="Heading2"/>
      </w:pPr>
      <w:r>
        <w:t xml:space="preserve">3. Assessment of Design Quality and Context</w:t>
      </w:r>
    </w:p>
    <w:p>
      <w:pPr>
        <w:pStyle w:val="FirstParagraph"/>
      </w:pPr>
      <w:r>
        <w:t xml:space="preserve">A critical aspect of this</w:t>
      </w:r>
      <w:r>
        <w:t xml:space="preserve"> </w:t>
      </w:r>
      <w:r>
        <w:rPr>
          <w:bCs/>
          <w:b/>
        </w:rPr>
        <w:t xml:space="preserve">Peer Review Report</w:t>
      </w:r>
      <w:r>
        <w:t xml:space="preserve"> </w:t>
      </w:r>
      <w:r>
        <w:t xml:space="preserve">is the evaluation of design quality. The</w:t>
      </w:r>
      <w:r>
        <w:t xml:space="preserve"> </w:t>
      </w:r>
      <w:r>
        <w:rPr>
          <w:bCs/>
          <w:b/>
        </w:rPr>
        <w:t xml:space="preserve">Architect</w:t>
      </w:r>
      <w:r>
        <w:t xml:space="preserve"> </w:t>
      </w:r>
      <w:r>
        <w:t xml:space="preserve">has demonstrated a commendable ability to respond to the specific urban fabric of</w:t>
      </w:r>
      <w:r>
        <w:t xml:space="preserve"> </w:t>
      </w:r>
      <w:r>
        <w:rPr>
          <w:bCs/>
          <w:b/>
        </w:rPr>
        <w:t xml:space="preserve">United Kingdom Manchester</w:t>
      </w:r>
      <w:r>
        <w:t xml:space="preserve">. The reviewed projects show a sensitivity to the city's industrial heritage, successfully integrating modern architectural language with the existing streetscape.</w:t>
      </w:r>
    </w:p>
    <w:p>
      <w:pPr>
        <w:pStyle w:val="BodyText"/>
      </w:pPr>
      <w:r>
        <w:t xml:space="preserve">Specifically, the approach to massing and scale in the reviewed residential developments aligns well with the Manchester City Council's design guides. The Architect has shown a clear understanding of how to maximize natural light and ventilation, which is crucial for the well-being of occupants in the dense urban environment of Manchester. However, the review notes that while aesthetic integration is strong, the detailing of facade materials could be further refined to ensure long-term durability against the local climate conditions.</w:t>
      </w:r>
    </w:p>
    <w:bookmarkEnd w:id="23"/>
    <w:bookmarkStart w:id="24" w:name="Xa23489420e66cd3fde9d0e36f97afd2c34bd065"/>
    <w:p>
      <w:pPr>
        <w:pStyle w:val="Heading2"/>
      </w:pPr>
      <w:r>
        <w:t xml:space="preserve">4. Technical Competence and Regulatory Compliance</w:t>
      </w:r>
    </w:p>
    <w:p>
      <w:pPr>
        <w:pStyle w:val="FirstParagraph"/>
      </w:pPr>
      <w:r>
        <w:t xml:space="preserve">Technical proficiency is the backbone of architectural practice. This report confirms that the</w:t>
      </w:r>
      <w:r>
        <w:t xml:space="preserve"> </w:t>
      </w:r>
      <w:r>
        <w:rPr>
          <w:bCs/>
          <w:b/>
        </w:rPr>
        <w:t xml:space="preserve">Architect</w:t>
      </w:r>
      <w:r>
        <w:t xml:space="preserve"> </w:t>
      </w:r>
      <w:r>
        <w:t xml:space="preserve">maintains a robust understanding of the Building Regulations applicable in England. The documentation reviewed demonstrates strict adherence to Part B (Fire Safety), Part L (Conservation of Fuel and Power), and Part M (Access to and use of buildings).</w:t>
      </w:r>
    </w:p>
    <w:p>
      <w:pPr>
        <w:pStyle w:val="BodyText"/>
      </w:pPr>
      <w:r>
        <w:t xml:space="preserve">In the context of</w:t>
      </w:r>
      <w:r>
        <w:t xml:space="preserve"> </w:t>
      </w:r>
      <w:r>
        <w:rPr>
          <w:bCs/>
          <w:b/>
        </w:rPr>
        <w:t xml:space="preserve">United Kingdom Manchester</w:t>
      </w:r>
      <w:r>
        <w:t xml:space="preserve">, where flood risk and ground stability can be variable, the Architect has appropriately engaged specialist consultants. The coordination between the Architect and these technical partners appears seamless, ensuring that the design intent is not compromised by technical constraints. The Peer Review Panel is satisfied that the Architect exercises due diligence in ensuring that all designs are buildable and safe.</w:t>
      </w:r>
    </w:p>
    <w:bookmarkEnd w:id="24"/>
    <w:bookmarkStart w:id="25" w:name="Xc3131b44cc6e0c52c0f0ebe61437dcc9cc59f37"/>
    <w:p>
      <w:pPr>
        <w:pStyle w:val="Heading2"/>
      </w:pPr>
      <w:r>
        <w:t xml:space="preserve">5. Sustainability and Environmental Responsibility</w:t>
      </w:r>
    </w:p>
    <w:p>
      <w:pPr>
        <w:pStyle w:val="FirstParagraph"/>
      </w:pPr>
      <w:r>
        <w:t xml:space="preserve">Sustainability is a paramount concern for modern architecture in the United Kingdom. The</w:t>
      </w:r>
      <w:r>
        <w:t xml:space="preserve"> </w:t>
      </w:r>
      <w:r>
        <w:rPr>
          <w:bCs/>
          <w:b/>
        </w:rPr>
        <w:t xml:space="preserve">Architect</w:t>
      </w:r>
      <w:r>
        <w:t xml:space="preserve"> </w:t>
      </w:r>
      <w:r>
        <w:t xml:space="preserve">has been assessed on their commitment to reducing carbon footprints and promoting biodiversity. The review highlights a positive trend in the use of low-carbon materials and the specification of high-performance building envelopes.</w:t>
      </w:r>
    </w:p>
    <w:p>
      <w:pPr>
        <w:pStyle w:val="BodyText"/>
      </w:pPr>
      <w:r>
        <w:t xml:space="preserve">Furthermore, the Architect's engagement with the Manchester Climate Emergency Declaration is evident in their design strategies. The inclusion of green roofs and rainwater harvesting systems in the reviewed projects reflects a proactive approach to environmental stewardship. This alignment with local sustainability goals is a significant strength of the practice.</w:t>
      </w:r>
    </w:p>
    <w:bookmarkEnd w:id="25"/>
    <w:bookmarkStart w:id="26" w:name="professional-conduct-and-client-service"/>
    <w:p>
      <w:pPr>
        <w:pStyle w:val="Heading2"/>
      </w:pPr>
      <w:r>
        <w:t xml:space="preserve">6. Professional Conduct and Client Service</w:t>
      </w:r>
    </w:p>
    <w:p>
      <w:pPr>
        <w:pStyle w:val="FirstParagraph"/>
      </w:pPr>
      <w:r>
        <w:t xml:space="preserve">The</w:t>
      </w:r>
      <w:r>
        <w:t xml:space="preserve"> </w:t>
      </w:r>
      <w:r>
        <w:rPr>
          <w:bCs/>
          <w:b/>
        </w:rPr>
        <w:t xml:space="preserve">Peer Review Report</w:t>
      </w:r>
      <w:r>
        <w:t xml:space="preserve"> </w:t>
      </w:r>
      <w:r>
        <w:t xml:space="preserve">also examines the professional conduct of the</w:t>
      </w:r>
      <w:r>
        <w:t xml:space="preserve"> </w:t>
      </w:r>
      <w:r>
        <w:rPr>
          <w:bCs/>
          <w:b/>
        </w:rPr>
        <w:t xml:space="preserve">Architect</w:t>
      </w:r>
      <w:r>
        <w:t xml:space="preserve">. Feedback from clients and contractors indicates a high level of professionalism, transparency, and responsiveness. The Architect adheres to the RIBA Code of Professional Conduct and Ethics, ensuring that conflicts of interest are managed effectively and that client confidentiality is maintained.</w:t>
      </w:r>
    </w:p>
    <w:p>
      <w:pPr>
        <w:pStyle w:val="BodyText"/>
      </w:pPr>
      <w:r>
        <w:t xml:space="preserve">Communication with local authorities in Manchester has been described as constructive and collaborative. The Architect's ability to navigate the planning process efficiently contributes significantly to the timely delivery of projects, which is highly valued in the competitive Manchester property market.</w:t>
      </w:r>
    </w:p>
    <w:bookmarkEnd w:id="26"/>
    <w:bookmarkStart w:id="27" w:name="recommendations"/>
    <w:p>
      <w:pPr>
        <w:pStyle w:val="Heading2"/>
      </w:pPr>
      <w:r>
        <w:t xml:space="preserve">7. Recommendations</w:t>
      </w:r>
    </w:p>
    <w:p>
      <w:pPr>
        <w:pStyle w:val="FirstParagraph"/>
      </w:pPr>
      <w:r>
        <w:t xml:space="preserve">Based on the findings of this review, the following recommendations are made to the</w:t>
      </w:r>
      <w:r>
        <w:t xml:space="preserve"> </w:t>
      </w:r>
      <w:r>
        <w:rPr>
          <w:bCs/>
          <w:b/>
        </w:rPr>
        <w:t xml:space="preserve">Architect</w:t>
      </w:r>
      <w:r>
        <w:t xml:space="preserve">:</w:t>
      </w:r>
    </w:p>
    <w:p>
      <w:pPr>
        <w:numPr>
          <w:ilvl w:val="0"/>
          <w:numId w:val="1002"/>
        </w:numPr>
        <w:pStyle w:val="Compact"/>
      </w:pPr>
      <w:r>
        <w:rPr>
          <w:bCs/>
          <w:b/>
        </w:rPr>
        <w:t xml:space="preserve">Enhance Digital Delivery:</w:t>
      </w:r>
      <w:r>
        <w:t xml:space="preserve"> </w:t>
      </w:r>
      <w:r>
        <w:t xml:space="preserve">Increase the adoption of Building Information Modelling (BIM) Level 2 standards across all project stages to improve coordination and reduce errors.</w:t>
      </w:r>
    </w:p>
    <w:p>
      <w:pPr>
        <w:numPr>
          <w:ilvl w:val="0"/>
          <w:numId w:val="1002"/>
        </w:numPr>
        <w:pStyle w:val="Compact"/>
      </w:pPr>
      <w:r>
        <w:rPr>
          <w:bCs/>
          <w:b/>
        </w:rPr>
        <w:t xml:space="preserve">Material Durability:</w:t>
      </w:r>
      <w:r>
        <w:t xml:space="preserve"> </w:t>
      </w:r>
      <w:r>
        <w:t xml:space="preserve">Conduct further research into facade material performance specific to the Manchester climate to ensure longevity and reduce maintenance costs.</w:t>
      </w:r>
    </w:p>
    <w:p>
      <w:pPr>
        <w:numPr>
          <w:ilvl w:val="0"/>
          <w:numId w:val="1002"/>
        </w:numPr>
        <w:pStyle w:val="Compact"/>
      </w:pPr>
      <w:r>
        <w:rPr>
          <w:bCs/>
          <w:b/>
        </w:rPr>
        <w:t xml:space="preserve">Community Engagement:</w:t>
      </w:r>
      <w:r>
        <w:t xml:space="preserve"> </w:t>
      </w:r>
      <w:r>
        <w:t xml:space="preserve">Strengthen community engagement strategies during the early design phases to better reflect the needs of local residents in Manchester.</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Architect</w:t>
      </w:r>
      <w:r>
        <w:t xml:space="preserve"> </w:t>
      </w:r>
      <w:r>
        <w:t xml:space="preserve">operates at a high standard of professional competence. The practice demonstrates a strong commitment to design excellence, technical rigor, and ethical conduct. The Architect's work contributes positively to the architectural landscape of</w:t>
      </w:r>
      <w:r>
        <w:t xml:space="preserve"> </w:t>
      </w:r>
      <w:r>
        <w:rPr>
          <w:bCs/>
          <w:b/>
        </w:rPr>
        <w:t xml:space="preserve">United Kingdom Manchester</w:t>
      </w:r>
      <w:r>
        <w:t xml:space="preserve">, balancing innovation with respect for the local context. The panel recommends that the Architect continues to uphold these standards and implements the suggested improvements to further enhance their practice.</w:t>
      </w:r>
    </w:p>
    <w:p>
      <w:pPr>
        <w:pStyle w:val="BodyText"/>
      </w:pPr>
      <w:r>
        <w:rPr>
          <w:bCs/>
          <w:b/>
        </w:rPr>
        <w:t xml:space="preserve">Reviewed By:</w:t>
      </w:r>
    </w:p>
    <w:p>
      <w:pPr>
        <w:pStyle w:val="BodyText"/>
      </w:pPr>
      <w:r>
        <w:t xml:space="preserve">Dr. Sarah Jenkins, RIBA</w:t>
      </w:r>
    </w:p>
    <w:p>
      <w:pPr>
        <w:pStyle w:val="BodyText"/>
      </w:pPr>
      <w:r>
        <w:t xml:space="preserve">Senior Peer Reviewer</w:t>
      </w:r>
    </w:p>
    <w:p>
      <w:pPr>
        <w:pStyle w:val="BodyText"/>
      </w:pPr>
      <w:r>
        <w:rPr>
          <w:bCs/>
          <w:b/>
        </w:rPr>
        <w:t xml:space="preserve">Approved By:</w:t>
      </w:r>
    </w:p>
    <w:p>
      <w:pPr>
        <w:pStyle w:val="BodyText"/>
      </w:pPr>
      <w:r>
        <w:t xml:space="preserve">James Thorne, ARB</w:t>
      </w:r>
    </w:p>
    <w:p>
      <w:pPr>
        <w:pStyle w:val="BodyText"/>
      </w:pPr>
      <w:r>
        <w:t xml:space="preserve">Chair, Manchester Peer Panel</w:t>
      </w:r>
    </w:p>
    <w:p>
      <w:pPr>
        <w:pStyle w:val="BodyText"/>
      </w:pPr>
      <w:r>
        <w:t xml:space="preserve">© 2023 Manchester Architecture Peer Panel. All rights reserved. This document is confidential and intended solely for the use of the addressee.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Assessment</dc:title>
  <dc:creator/>
  <dc:language>en</dc:language>
  <cp:keywords/>
  <dcterms:created xsi:type="dcterms:W3CDTF">2026-10-10T09:42:29Z</dcterms:created>
  <dcterms:modified xsi:type="dcterms:W3CDTF">2026-10-10T09:42:29Z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