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Architectural Practice Evaluation</w:t>
      </w:r>
    </w:p>
    <w:p>
      <w:pPr>
        <w:pStyle w:val="BodyText"/>
      </w:pPr>
      <w:r>
        <w:rPr>
          <w:bCs/>
          <w:b/>
        </w:rPr>
        <w:t xml:space="preserve">Location:</w:t>
      </w:r>
      <w:r>
        <w:t xml:space="preserve"> </w:t>
      </w:r>
      <w:r>
        <w:t xml:space="preserve">United States, Los Angeles, California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Architectural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regulatory compliance of a licensed Architect operating within the jurisdiction of Los Angeles, California. The purpose of this review is to ensure that the Architect’s practice aligns with the rigorous standards set forth by the California Architects Board (CAB) and the specific municipal codes governing the City of Los Angeles. The review encompasses an analysis of recent project portfolios, adherence to the California Building Code (CBC), and the integration of sustainable design principles mandated by local environmental regulations.</w:t>
      </w:r>
    </w:p>
    <w:bookmarkEnd w:id="21"/>
    <w:bookmarkStart w:id="22" w:name="scope-of-review"/>
    <w:p>
      <w:pPr>
        <w:pStyle w:val="Heading2"/>
      </w:pPr>
      <w:r>
        <w:t xml:space="preserve">2. Scope of Review</w:t>
      </w:r>
    </w:p>
    <w:p>
      <w:pPr>
        <w:pStyle w:val="FirstParagraph"/>
      </w:pPr>
      <w:r>
        <w:t xml:space="preserve">The scope of this Peer Review Report is comprehensive, focusing on three primary areas of architectural practice in the United States, specifically tailored to the Los Angeles market:</w:t>
      </w:r>
    </w:p>
    <w:p>
      <w:pPr>
        <w:numPr>
          <w:ilvl w:val="0"/>
          <w:numId w:val="1001"/>
        </w:numPr>
        <w:pStyle w:val="Compact"/>
      </w:pPr>
      <w:r>
        <w:rPr>
          <w:bCs/>
          <w:b/>
        </w:rPr>
        <w:t xml:space="preserve">Code Compliance:</w:t>
      </w:r>
      <w:r>
        <w:t xml:space="preserve"> </w:t>
      </w:r>
      <w:r>
        <w:t xml:space="preserve">Verification of adherence to the California Building Code, Los Angeles Municipal Code (LAMC), and seismic safety requirements.</w:t>
      </w:r>
    </w:p>
    <w:p>
      <w:pPr>
        <w:numPr>
          <w:ilvl w:val="0"/>
          <w:numId w:val="1001"/>
        </w:numPr>
        <w:pStyle w:val="Compact"/>
      </w:pPr>
      <w:r>
        <w:rPr>
          <w:bCs/>
          <w:b/>
        </w:rPr>
        <w:t xml:space="preserve">Design Quality:</w:t>
      </w:r>
      <w:r>
        <w:t xml:space="preserve"> </w:t>
      </w:r>
      <w:r>
        <w:t xml:space="preserve">Assessment of aesthetic integrity, functional planning, and contextual sensitivity within the diverse urban fabric of Los Angeles.</w:t>
      </w:r>
    </w:p>
    <w:p>
      <w:pPr>
        <w:numPr>
          <w:ilvl w:val="0"/>
          <w:numId w:val="1001"/>
        </w:numPr>
        <w:pStyle w:val="Compact"/>
      </w:pPr>
      <w:r>
        <w:rPr>
          <w:bCs/>
          <w:b/>
        </w:rPr>
        <w:t xml:space="preserve">Professional Ethics:</w:t>
      </w:r>
      <w:r>
        <w:t xml:space="preserve"> </w:t>
      </w:r>
      <w:r>
        <w:t xml:space="preserve">Evaluation of the Architect’s conduct regarding client relations, contractor coordination, and environmental stewardship.</w:t>
      </w:r>
    </w:p>
    <w:bookmarkEnd w:id="22"/>
    <w:bookmarkStart w:id="23" w:name="X724babb4ebd4b9fad1136d274ec698810bc5e91"/>
    <w:p>
      <w:pPr>
        <w:pStyle w:val="Heading2"/>
      </w:pPr>
      <w:r>
        <w:t xml:space="preserve">3. Regulatory Compliance and Technical Standards</w:t>
      </w:r>
    </w:p>
    <w:p>
      <w:pPr>
        <w:pStyle w:val="FirstParagraph"/>
      </w:pPr>
      <w:r>
        <w:t xml:space="preserve">Operating as an Architect in Los Angeles requires a deep understanding of complex regulatory frameworks. The subject Architect has demonstrated a commendable level of proficiency in navigating the California Building Code (CBC), particularly Title 24, which governs energy efficiency standards. In the context of Los Angeles, where energy consumption is a critical concern, the Architect’s recent residential and commercial projects exhibit strict compliance with Title 24 Part 6 requirements.</w:t>
      </w:r>
    </w:p>
    <w:p>
      <w:pPr>
        <w:pStyle w:val="BodyText"/>
      </w:pPr>
      <w:r>
        <w:t xml:space="preserve">Furthermore, the review highlights the Architect’s rigorous approach to seismic design. Given the geological realities of the United States and specifically the Los Angeles basin, adherence to the California Building Code’s seismic provisions is non-negotiable. The structural detailing observed in the reviewed documents indicates a robust collaboration with structural engineers, ensuring that all designs meet the necessary safety factors for earthquake resistance. The Architect has also shown due diligence in complying with the Los Angeles Fire Code, particularly regarding egress requirements and fire-rated assemblies in multi-family dwellings.</w:t>
      </w:r>
    </w:p>
    <w:bookmarkEnd w:id="23"/>
    <w:bookmarkStart w:id="24" w:name="X09b4cbfb0e5d072be22053fcda5872e5860b1ca"/>
    <w:p>
      <w:pPr>
        <w:pStyle w:val="Heading2"/>
      </w:pPr>
      <w:r>
        <w:t xml:space="preserve">4. Sustainable Design and Environmental Responsibility</w:t>
      </w:r>
    </w:p>
    <w:p>
      <w:pPr>
        <w:pStyle w:val="FirstParagraph"/>
      </w:pPr>
      <w:r>
        <w:t xml:space="preserve">Los Angeles has established itself as a leader in sustainable urban development within the United States. Consequently, this Peer Review Report places significant emphasis on the Architect’s commitment to green building practices. The evaluation confirms that the Architect consistently integrates sustainable strategies into their design process. This includes the utilization of low-flow plumbing fixtures, high-efficiency HVAC systems, and the incorporation of renewable energy sources such as photovoltaic solar panels, which are increasingly mandated for new construction in Los Angeles.</w:t>
      </w:r>
    </w:p>
    <w:p>
      <w:pPr>
        <w:pStyle w:val="BodyText"/>
      </w:pPr>
      <w:r>
        <w:t xml:space="preserve">Additionally, the Architect demonstrates a strong awareness of the Los Angeles Green Building Ordinance. Projects reviewed show evidence of water conservation measures, such as drought-tolerant landscaping (xeriscaping), which is essential for the arid climate of Southern California. The use of locally sourced materials and recycled content in construction assemblies further underscores the Architect’s dedication to reducing the carbon footprint of their built environment contributions.</w:t>
      </w:r>
    </w:p>
    <w:bookmarkEnd w:id="24"/>
    <w:bookmarkStart w:id="25" w:name="X0a9fbb9173bb788dd28c540b7de4668f0488a56"/>
    <w:p>
      <w:pPr>
        <w:pStyle w:val="Heading2"/>
      </w:pPr>
      <w:r>
        <w:t xml:space="preserve">5. Design Quality and Contextual Integration</w:t>
      </w:r>
    </w:p>
    <w:p>
      <w:pPr>
        <w:pStyle w:val="FirstParagraph"/>
      </w:pPr>
      <w:r>
        <w:t xml:space="preserve">The architectural landscape of Los Angeles is characterized by its diversity, ranging from historic Spanish Colonial Revival structures to modernist masterpieces and contemporary high-rises. This Peer Review Report assesses the Architect’s ability to create designs that are not only functional but also contextually appropriate. The Architect has shown a nuanced understanding of the local vernacular, successfully blending modern aesthetics with the unique cultural and historical narratives of specific Los Angeles neighborhoods.</w:t>
      </w:r>
    </w:p>
    <w:p>
      <w:pPr>
        <w:pStyle w:val="BodyText"/>
      </w:pPr>
      <w:r>
        <w:t xml:space="preserve">In terms of spatial planning, the Architect’s work reflects a sophisticated approach to maximizing limited urban footprints, a common challenge in the dense environments of Los Angeles. The designs prioritize natural light, ventilation, and outdoor living spaces, which are critical components of the Californian lifestyle. The review notes that the Architect consistently produces high-quality construction documents that minimize ambiguity, thereby reducing the likelihood of costly change orders during the construction phase.</w:t>
      </w:r>
    </w:p>
    <w:bookmarkEnd w:id="25"/>
    <w:bookmarkStart w:id="26" w:name="professional-conduct-and-ethics"/>
    <w:p>
      <w:pPr>
        <w:pStyle w:val="Heading2"/>
      </w:pPr>
      <w:r>
        <w:t xml:space="preserve">6. Professional Conduct and Ethics</w:t>
      </w:r>
    </w:p>
    <w:p>
      <w:pPr>
        <w:pStyle w:val="FirstParagraph"/>
      </w:pPr>
      <w:r>
        <w:t xml:space="preserve">The practice of architecture in the United States is governed by a strict code of ethics. This Peer Review Report confirms that the Architect maintains the highest standards of professional conduct. There is evidence of transparent communication with clients, accurate representation of services and fees, and a commitment to the public health, safety, and welfare. The Architect has also demonstrated effective leadership in coordinating with various consultants, including civil engineers, landscape architects, and interior designers, ensuring a cohesive project delivery process.</w:t>
      </w:r>
    </w:p>
    <w:bookmarkEnd w:id="26"/>
    <w:bookmarkStart w:id="27" w:name="conclusion-and-recommendations"/>
    <w:p>
      <w:pPr>
        <w:pStyle w:val="Heading2"/>
      </w:pPr>
      <w:r>
        <w:t xml:space="preserve">7. Conclusion and Recommendations</w:t>
      </w:r>
    </w:p>
    <w:p>
      <w:pPr>
        <w:pStyle w:val="FirstParagraph"/>
      </w:pPr>
      <w:r>
        <w:t xml:space="preserve">Based on the comprehensive analysis conducted for this Peer Review Report, it is the conclusion of the review panel that the Architect in question operates at a level of excellence consistent with the expectations of the California Architects Board and the City of Los Angeles. The Architect’s proficiency in code compliance, commitment to sustainable design, and dedication to high-quality architectural solutions affirm their standing as a competent professional in the field.</w:t>
      </w:r>
    </w:p>
    <w:p>
      <w:pPr>
        <w:pStyle w:val="BodyText"/>
      </w:pPr>
      <w:r>
        <w:t xml:space="preserve">It is recommended that the Architect continue to engage in ongoing professional development, particularly in emerging areas such as adaptive reuse and resilient design, which are becoming increasingly relevant in the Los Angeles market. This Peer Review Report serves as a formal endorsement of the Architect’s capabilities and adherence to the professional standards required to practice architecture in the United States.</w:t>
      </w:r>
    </w:p>
    <w:bookmarkEnd w:id="27"/>
    <w:p>
      <w:pPr>
        <w:pStyle w:val="BodyText"/>
      </w:pPr>
      <w:r>
        <w:rPr>
          <w:bCs/>
          <w:b/>
        </w:rPr>
        <w:t xml:space="preserve">Reviewed By:</w:t>
      </w:r>
    </w:p>
    <w:p>
      <w:pPr>
        <w:pStyle w:val="BodyText"/>
      </w:pPr>
      <w:r>
        <w:t xml:space="preserve">Senior Architectural Reviewer</w:t>
      </w:r>
    </w:p>
    <w:p>
      <w:pPr>
        <w:pStyle w:val="BodyText"/>
      </w:pPr>
      <w:r>
        <w:t xml:space="preserve">Los Angeles Chapter, American Institute of Architects (AIA)</w:t>
      </w:r>
    </w:p>
    <w:p>
      <w:pPr>
        <w:pStyle w:val="BodyText"/>
      </w:pPr>
      <w:r>
        <w:t xml:space="preserve">Licensed Architect, State of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Evaluation</dc:title>
  <dc:creator/>
  <dc:language>en</dc:language>
  <cp:keywords/>
  <dcterms:created xsi:type="dcterms:W3CDTF">2026-10-10T13:53:28Z</dcterms:created>
  <dcterms:modified xsi:type="dcterms:W3CDTF">2026-10-10T13:53:28Z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