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NYC-PR-2023-8942</w:t>
      </w:r>
    </w:p>
    <w:p>
      <w:pPr>
        <w:pStyle w:val="BodyText"/>
      </w:pPr>
      <w:r>
        <w:rPr>
          <w:bCs/>
          <w:b/>
        </w:rPr>
        <w:t xml:space="preserve">Date of Submission:</w:t>
      </w:r>
      <w:r>
        <w:t xml:space="preserve"> </w:t>
      </w:r>
      <w:r>
        <w:t xml:space="preserve">October 24, 2023</w:t>
      </w:r>
      <w:r>
        <w:br/>
      </w:r>
      <w:r>
        <w:rPr>
          <w:bCs/>
          <w:b/>
        </w:rPr>
        <w:t xml:space="preserve">Jurisdiction:</w:t>
      </w:r>
      <w:r>
        <w:t xml:space="preserve"> </w:t>
      </w:r>
      <w:r>
        <w:t xml:space="preserve">New York City, United States</w:t>
      </w:r>
    </w:p>
    <w:bookmarkStart w:id="26" w:name="Xaa3d4411108b00c147ce3cc4b4362ee299b8a2b"/>
    <w:p>
      <w:pPr>
        <w:pStyle w:val="Heading1"/>
      </w:pPr>
      <w:r>
        <w:t xml:space="preserve">Peer Review Report: Architectural Design and Code Compliance</w:t>
      </w:r>
    </w:p>
    <w:p>
      <w:pPr>
        <w:pStyle w:val="FirstParagraph"/>
      </w:pPr>
      <w:r>
        <w:rPr>
          <w:bCs/>
          <w:b/>
        </w:rPr>
        <w:t xml:space="preserve">Project Name:</w:t>
      </w:r>
      <w:r>
        <w:t xml:space="preserve"> </w:t>
      </w:r>
      <w:r>
        <w:t xml:space="preserve">The Hudson Yards Mixed-Use Development (Phase III)</w:t>
      </w:r>
      <w:r>
        <w:br/>
      </w:r>
      <w:r>
        <w:rPr>
          <w:bCs/>
          <w:b/>
        </w:rPr>
        <w:t xml:space="preserve">Location:</w:t>
      </w:r>
      <w:r>
        <w:t xml:space="preserve"> </w:t>
      </w:r>
      <w:r>
        <w:t xml:space="preserve">Manhattan, New York City, New York, United States</w:t>
      </w:r>
      <w:r>
        <w:br/>
      </w:r>
      <w:r>
        <w:rPr>
          <w:bCs/>
          <w:b/>
        </w:rPr>
        <w:t xml:space="preserve">Lead Architect:</w:t>
      </w:r>
      <w:r>
        <w:t xml:space="preserve"> </w:t>
      </w:r>
      <w:r>
        <w:t xml:space="preserve">[Name Redacted], R.A., AIA</w:t>
      </w:r>
      <w:r>
        <w:br/>
      </w:r>
      <w:r>
        <w:rPr>
          <w:bCs/>
          <w:b/>
        </w:rPr>
        <w:t xml:space="preserve">Reviewing Entity:</w:t>
      </w:r>
      <w:r>
        <w:t xml:space="preserve"> </w:t>
      </w:r>
      <w:r>
        <w:t xml:space="preserve">Independent Structural and Architectural Peer Review Board</w:t>
      </w:r>
    </w:p>
    <w:bookmarkStart w:id="20" w:name="executive-summary"/>
    <w:p>
      <w:pPr>
        <w:pStyle w:val="Heading2"/>
      </w:pPr>
      <w:r>
        <w:t xml:space="preserve">1. Executive Summary</w:t>
      </w:r>
    </w:p>
    <w:p>
      <w:pPr>
        <w:pStyle w:val="FirstParagraph"/>
      </w:pPr>
      <w:r>
        <w:t xml:space="preserve">This Peer Review Report serves as a comprehensive evaluation of the architectural design, regulatory compliance, and technical execution of the aforementioned project. Conducted within the strict legal and professional framework of the United States, specifically adhering to the New York City Building Code (NYCBC), the New York City Zoning Resolution, and the guidelines set forth by the New York State Board for Architecture, this report aims to validate the safety, functionality, and aesthetic integrity of the proposed structures.</w:t>
      </w:r>
    </w:p>
    <w:p>
      <w:pPr>
        <w:pStyle w:val="BodyText"/>
      </w:pPr>
      <w:r>
        <w:t xml:space="preserve">The review process involved a detailed analysis of construction documents, structural calculations, fire safety systems, and accessibility standards. The primary objective is to ensure that the Architect has fulfilled their fiduciary and professional duties to the public, the client, and the city of New York.</w:t>
      </w:r>
    </w:p>
    <w:bookmarkEnd w:id="20"/>
    <w:bookmarkStart w:id="21" w:name="X0411b97f1133745f7b7fbba680e39d434712802"/>
    <w:p>
      <w:pPr>
        <w:pStyle w:val="Heading2"/>
      </w:pPr>
      <w:r>
        <w:t xml:space="preserve">2. Regulatory Compliance and Zoning Analysis</w:t>
      </w:r>
    </w:p>
    <w:p>
      <w:pPr>
        <w:pStyle w:val="FirstParagraph"/>
      </w:pPr>
      <w:r>
        <w:t xml:space="preserve">New York City presents one of the most complex regulatory environments in the United States for architectural practice. The review team scrutinized the project's adherence to the NYC Zoning Resolution. Specifically, the analysis focused on Floor Area Ratio (FAR) calculations, setback requirements, and height limitations within the specific zoning district of Manhattan.</w:t>
      </w:r>
    </w:p>
    <w:p>
      <w:pPr>
        <w:pStyle w:val="BodyText"/>
      </w:pPr>
      <w:r>
        <w:t xml:space="preserve">The Architect has demonstrated a robust understanding of the "Special Hudson Yards District" regulations. The design successfully integrates the required public plazas and open spaces mandated by the zoning envelope. Furthermore, the review confirms that the building's massing respects the shadow studies required by the city to protect adjacent public parks and residential areas. The integration of the building with the existing transit infrastructure aligns with the New York City Department of City Planning's sustainability goals.</w:t>
      </w:r>
    </w:p>
    <w:bookmarkEnd w:id="21"/>
    <w:bookmarkStart w:id="22" w:name="building-code-and-life-safety-evaluation"/>
    <w:p>
      <w:pPr>
        <w:pStyle w:val="Heading2"/>
      </w:pPr>
      <w:r>
        <w:t xml:space="preserve">3. Building Code and Life Safety Evaluation</w:t>
      </w:r>
    </w:p>
    <w:p>
      <w:pPr>
        <w:pStyle w:val="FirstParagraph"/>
      </w:pPr>
      <w:r>
        <w:t xml:space="preserve">A critical component of this Peer Review Report is the assessment of life safety measures in accordance with the New York City Building Code. Given the high-density nature of New York City, fire safety is paramount.</w:t>
      </w:r>
    </w:p>
    <w:p>
      <w:pPr>
        <w:numPr>
          <w:ilvl w:val="0"/>
          <w:numId w:val="1001"/>
        </w:numPr>
        <w:pStyle w:val="Compact"/>
      </w:pPr>
      <w:r>
        <w:rPr>
          <w:bCs/>
          <w:b/>
        </w:rPr>
        <w:t xml:space="preserve">Fire Resistance Ratings:</w:t>
      </w:r>
      <w:r>
        <w:t xml:space="preserve"> </w:t>
      </w:r>
      <w:r>
        <w:t xml:space="preserve">The Architect has specified appropriate fire-resistance ratings for structural elements, ensuring compliance with Type IA construction requirements. The use of fireproofing materials meets the standards set by the New York City Fire Department (FDNY).</w:t>
      </w:r>
    </w:p>
    <w:p>
      <w:pPr>
        <w:numPr>
          <w:ilvl w:val="0"/>
          <w:numId w:val="1001"/>
        </w:numPr>
        <w:pStyle w:val="Compact"/>
      </w:pPr>
      <w:r>
        <w:rPr>
          <w:bCs/>
          <w:b/>
        </w:rPr>
        <w:t xml:space="preserve">Egress Systems:</w:t>
      </w:r>
      <w:r>
        <w:t xml:space="preserve"> </w:t>
      </w:r>
      <w:r>
        <w:t xml:space="preserve">The egress design provides sufficient width and quantity of exits to accommodate the maximum occupant load. The placement of stairwells ensures that travel distances do not exceed the limits prescribed by the code.</w:t>
      </w:r>
    </w:p>
    <w:p>
      <w:pPr>
        <w:numPr>
          <w:ilvl w:val="0"/>
          <w:numId w:val="1001"/>
        </w:numPr>
        <w:pStyle w:val="Compact"/>
      </w:pPr>
      <w:r>
        <w:rPr>
          <w:bCs/>
          <w:b/>
        </w:rPr>
        <w:t xml:space="preserve">Smoke Control:</w:t>
      </w:r>
      <w:r>
        <w:t xml:space="preserve"> </w:t>
      </w:r>
      <w:r>
        <w:t xml:space="preserve">The mechanical smoke control systems are designed to maintain tenable conditions in exit stairwells and refuge areas, a critical requirement for high-rise buildings in the United States.</w:t>
      </w:r>
    </w:p>
    <w:p>
      <w:pPr>
        <w:pStyle w:val="FirstParagraph"/>
      </w:pPr>
      <w:r>
        <w:t xml:space="preserve">The review team notes that the Architect has proactively addressed the requirements for standpipes and sprinkler systems, ensuring full coverage throughout the mixed-use facility.</w:t>
      </w:r>
    </w:p>
    <w:bookmarkEnd w:id="22"/>
    <w:bookmarkStart w:id="23" w:name="accessibility-and-universal-design"/>
    <w:p>
      <w:pPr>
        <w:pStyle w:val="Heading2"/>
      </w:pPr>
      <w:r>
        <w:t xml:space="preserve">4. Accessibility and Universal Design</w:t>
      </w:r>
    </w:p>
    <w:p>
      <w:pPr>
        <w:pStyle w:val="FirstParagraph"/>
      </w:pPr>
      <w:r>
        <w:t xml:space="preserve">Compliance with the Americans with Disabilities Act (ADA) and the New York City Accessibility Code is non-negotiable. This report confirms that the Architect has successfully integrated universal design principles throughout the project.</w:t>
      </w:r>
    </w:p>
    <w:p>
      <w:pPr>
        <w:pStyle w:val="BodyText"/>
      </w:pPr>
      <w:r>
        <w:t xml:space="preserve">The review highlights the following achievements:</w:t>
      </w:r>
    </w:p>
    <w:p>
      <w:pPr>
        <w:numPr>
          <w:ilvl w:val="0"/>
          <w:numId w:val="1002"/>
        </w:numPr>
        <w:pStyle w:val="Compact"/>
      </w:pPr>
      <w:r>
        <w:t xml:space="preserve">Accessible routes are provided from all public transportation stops to the building entrances.</w:t>
      </w:r>
    </w:p>
    <w:p>
      <w:pPr>
        <w:numPr>
          <w:ilvl w:val="0"/>
          <w:numId w:val="1002"/>
        </w:numPr>
        <w:pStyle w:val="Compact"/>
      </w:pPr>
      <w:r>
        <w:t xml:space="preserve">Restrooms, elevators, and common areas are fully compliant with ADA standards regarding dimensions, signage, and maneuvering clearances.</w:t>
      </w:r>
    </w:p>
    <w:p>
      <w:pPr>
        <w:numPr>
          <w:ilvl w:val="0"/>
          <w:numId w:val="1002"/>
        </w:numPr>
        <w:pStyle w:val="Compact"/>
      </w:pPr>
      <w:r>
        <w:t xml:space="preserve">The design incorporates tactile warning surfaces and audible signals at intersections and building entries, enhancing safety for visually impaired individuals navigating the dense urban environment of New York City.</w:t>
      </w:r>
    </w:p>
    <w:bookmarkEnd w:id="23"/>
    <w:bookmarkStart w:id="24" w:name="structural-and-environmental-integration"/>
    <w:p>
      <w:pPr>
        <w:pStyle w:val="Heading2"/>
      </w:pPr>
      <w:r>
        <w:t xml:space="preserve">5. Structural and Environmental Integration</w:t>
      </w:r>
    </w:p>
    <w:p>
      <w:pPr>
        <w:pStyle w:val="FirstParagraph"/>
      </w:pPr>
      <w:r>
        <w:t xml:space="preserve">While primarily an architectural review, the interaction between the architectural design and structural systems was evaluated. The Architect has collaborated effectively with structural engineers to create a design that is both aesthetically striking and structurally sound. The use of high-strength concrete and steel is appropriate for the soil conditions and load requirements typical of Manhattan.</w:t>
      </w:r>
    </w:p>
    <w:p>
      <w:pPr>
        <w:pStyle w:val="BodyText"/>
      </w:pPr>
      <w:r>
        <w:t xml:space="preserve">Furthermore, the project aligns with New York City's Local Law 97, which aims to reduce greenhouse gas emissions from large buildings. The Architect has incorporated energy-efficient glazing, high-performance insulation, and renewable energy systems, demonstrating a commitment to sustainability that is increasingly expected of architectural firms operating in the United States.</w:t>
      </w:r>
    </w:p>
    <w:bookmarkEnd w:id="24"/>
    <w:bookmarkStart w:id="25" w:name="conclusion-and-recommendations"/>
    <w:p>
      <w:pPr>
        <w:pStyle w:val="Heading2"/>
      </w:pPr>
      <w:r>
        <w:t xml:space="preserve">6. Conclusion and Recommendations</w:t>
      </w:r>
    </w:p>
    <w:p>
      <w:pPr>
        <w:pStyle w:val="FirstParagraph"/>
      </w:pPr>
      <w:r>
        <w:t xml:space="preserve">Based on the thorough examination of the construction documents and design proposals, this Peer Review Report concludes that the Architect has performed their duties with a high degree of professionalism and technical competence. The design is compliant with the New York City Building Code, Zoning Resolution, and all relevant federal and state regulations.</w:t>
      </w:r>
    </w:p>
    <w:p>
      <w:pPr>
        <w:pStyle w:val="BodyText"/>
      </w:pPr>
      <w:r>
        <w:rPr>
          <w:bCs/>
          <w:b/>
        </w:rPr>
        <w:t xml:space="preserve">Recommendations:</w:t>
      </w:r>
    </w:p>
    <w:p>
      <w:pPr>
        <w:numPr>
          <w:ilvl w:val="0"/>
          <w:numId w:val="1003"/>
        </w:numPr>
        <w:pStyle w:val="Compact"/>
      </w:pPr>
      <w:r>
        <w:t xml:space="preserve">Proceed with the submission of the final construction documents to the New York City Department of Buildings (DOB).</w:t>
      </w:r>
    </w:p>
    <w:p>
      <w:pPr>
        <w:numPr>
          <w:ilvl w:val="0"/>
          <w:numId w:val="1003"/>
        </w:numPr>
        <w:pStyle w:val="Compact"/>
      </w:pPr>
      <w:r>
        <w:t xml:space="preserve">Ensure that all material specifications are updated to reflect the latest environmental standards.</w:t>
      </w:r>
    </w:p>
    <w:p>
      <w:pPr>
        <w:numPr>
          <w:ilvl w:val="0"/>
          <w:numId w:val="1003"/>
        </w:numPr>
        <w:pStyle w:val="Compact"/>
      </w:pPr>
      <w:r>
        <w:t xml:space="preserve">Maintain close coordination with the DOB plan examiners during the permit approval process to address any minor administrative queries promptly.</w:t>
      </w:r>
    </w:p>
    <w:p>
      <w:pPr>
        <w:pStyle w:val="FirstParagraph"/>
      </w:pPr>
      <w:r>
        <w:t xml:space="preserve">This project represents a significant contribution to the architectural landscape of New York City and serves as a model for high-density, mixed-use development in the United States.</w:t>
      </w:r>
    </w:p>
    <w:p>
      <w:pPr>
        <w:pStyle w:val="BodyText"/>
      </w:pPr>
      <w:r>
        <w:rPr>
          <w:bCs/>
          <w:b/>
        </w:rPr>
        <w:t xml:space="preserve">Lead Reviewer</w:t>
      </w:r>
      <w:r>
        <w:br/>
      </w:r>
      <w:r>
        <w:t xml:space="preserve">John Doe, R.A., LEED AP</w:t>
      </w:r>
      <w:r>
        <w:br/>
      </w:r>
      <w:r>
        <w:t xml:space="preserve">Senior Architectural Consultant</w:t>
      </w:r>
    </w:p>
    <w:p>
      <w:pPr>
        <w:pStyle w:val="BodyText"/>
      </w:pPr>
      <w:r>
        <w:rPr>
          <w:bCs/>
          <w:b/>
        </w:rPr>
        <w:t xml:space="preserve">Co-Reviewer</w:t>
      </w:r>
      <w:r>
        <w:br/>
      </w:r>
      <w:r>
        <w:t xml:space="preserve">Jane Smith, P.E.</w:t>
      </w:r>
      <w:r>
        <w:br/>
      </w:r>
      <w:r>
        <w:t xml:space="preserve">Structural Engineering Specialist</w:t>
      </w:r>
    </w:p>
    <w:p>
      <w:pPr>
        <w:pStyle w:val="BodyText"/>
      </w:pPr>
      <w:r>
        <w:t xml:space="preserve">This document is confidential and intended solely for the use of the addressee. Unauthorized distribution is prohibited. Prepared in accordance with the laws of the State of New York.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New York City</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