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proficiency, and regulatory compliance of the designated</w:t>
      </w:r>
      <w:r>
        <w:t xml:space="preserve"> </w:t>
      </w:r>
      <w:r>
        <w:rPr>
          <w:bCs/>
          <w:b/>
        </w:rPr>
        <w:t xml:space="preserve">Architect</w:t>
      </w:r>
      <w:r>
        <w:t xml:space="preserve"> </w:t>
      </w:r>
      <w:r>
        <w:t xml:space="preserve">operating within the jurisdiction of</w:t>
      </w:r>
      <w:r>
        <w:t xml:space="preserve"> </w:t>
      </w:r>
      <w:r>
        <w:rPr>
          <w:bCs/>
          <w:b/>
        </w:rPr>
        <w:t xml:space="preserve">United States San Francisco</w:t>
      </w:r>
      <w:r>
        <w:t xml:space="preserve">. The review process was conducted in accordance with the standards set forth by the American Institute of Architects (AIA) and the California Architects Board (CAB). The primary objective of this assessment is to ensure that the architectural services provided align with the rigorous safety codes, sustainability mandates, and urban planning requirements specific to the San Francisco Bay Area.</w:t>
      </w:r>
    </w:p>
    <w:p>
      <w:pPr>
        <w:pStyle w:val="BodyText"/>
      </w:pPr>
      <w:r>
        <w:t xml:space="preserve">The subject</w:t>
      </w:r>
      <w:r>
        <w:t xml:space="preserve"> </w:t>
      </w:r>
      <w:r>
        <w:rPr>
          <w:bCs/>
          <w:b/>
        </w:rPr>
        <w:t xml:space="preserve">Architect</w:t>
      </w:r>
      <w:r>
        <w:t xml:space="preserve"> </w:t>
      </w:r>
      <w:r>
        <w:t xml:space="preserve">has demonstrated a high level of expertise in navigating the complex regulatory landscape of</w:t>
      </w:r>
      <w:r>
        <w:t xml:space="preserve"> </w:t>
      </w:r>
      <w:r>
        <w:rPr>
          <w:bCs/>
          <w:b/>
        </w:rPr>
        <w:t xml:space="preserve">United States San Francisco</w:t>
      </w:r>
      <w:r>
        <w:t xml:space="preserve">. The review focuses on recent projects involving mixed-use developments and seismic retrofitting, which are critical components of the current architectural discourse in this region. Overall, the findings indicate that the</w:t>
      </w:r>
      <w:r>
        <w:t xml:space="preserve"> </w:t>
      </w:r>
      <w:r>
        <w:rPr>
          <w:bCs/>
          <w:b/>
        </w:rPr>
        <w:t xml:space="preserve">Architect</w:t>
      </w:r>
      <w:r>
        <w:t xml:space="preserve"> </w:t>
      </w:r>
      <w:r>
        <w:t xml:space="preserve">maintains a practice that is not only technically sound but also deeply responsive to the unique environmental and cultural context of the city.</w:t>
      </w:r>
    </w:p>
    <w:bookmarkEnd w:id="21"/>
    <w:bookmarkStart w:id="22" w:name="regulatory-compliance-and-code-adherence"/>
    <w:p>
      <w:pPr>
        <w:pStyle w:val="Heading2"/>
      </w:pPr>
      <w:r>
        <w:t xml:space="preserve">2. Regulatory Compliance and Code Adherence</w:t>
      </w:r>
    </w:p>
    <w:p>
      <w:pPr>
        <w:pStyle w:val="FirstParagraph"/>
      </w:pPr>
      <w:r>
        <w:t xml:space="preserve">A critical aspect of this</w:t>
      </w:r>
      <w:r>
        <w:t xml:space="preserve"> </w:t>
      </w:r>
      <w:r>
        <w:rPr>
          <w:bCs/>
          <w:b/>
        </w:rPr>
        <w:t xml:space="preserve">Peer Review Report</w:t>
      </w:r>
      <w:r>
        <w:t xml:space="preserve"> </w:t>
      </w:r>
      <w:r>
        <w:t xml:space="preserve">is the examination of the</w:t>
      </w:r>
      <w:r>
        <w:t xml:space="preserve"> </w:t>
      </w:r>
      <w:r>
        <w:rPr>
          <w:bCs/>
          <w:b/>
        </w:rPr>
        <w:t xml:space="preserve">Architect</w:t>
      </w:r>
      <w:r>
        <w:t xml:space="preserve">'s adherence to local building codes. In</w:t>
      </w:r>
      <w:r>
        <w:t xml:space="preserve"> </w:t>
      </w:r>
      <w:r>
        <w:rPr>
          <w:bCs/>
          <w:b/>
        </w:rPr>
        <w:t xml:space="preserve">United States San Francisco</w:t>
      </w:r>
      <w:r>
        <w:t xml:space="preserve">, compliance is not merely a legal obligation but a necessity for public safety due to the region's geological instability. The review team analyzed the</w:t>
      </w:r>
      <w:r>
        <w:t xml:space="preserve"> </w:t>
      </w:r>
      <w:r>
        <w:rPr>
          <w:bCs/>
          <w:b/>
        </w:rPr>
        <w:t xml:space="preserve">Architect</w:t>
      </w:r>
      <w:r>
        <w:t xml:space="preserve">'s documentation regarding the 2022 California Building Code (CBC) and the specific San Francisco Building Code amendments.</w:t>
      </w:r>
    </w:p>
    <w:p>
      <w:pPr>
        <w:pStyle w:val="BodyText"/>
      </w:pPr>
      <w:r>
        <w:t xml:space="preserve">The</w:t>
      </w:r>
      <w:r>
        <w:t xml:space="preserve"> </w:t>
      </w:r>
      <w:r>
        <w:rPr>
          <w:bCs/>
          <w:b/>
        </w:rPr>
        <w:t xml:space="preserve">Architect</w:t>
      </w:r>
      <w:r>
        <w:t xml:space="preserve"> </w:t>
      </w:r>
      <w:r>
        <w:t xml:space="preserve">exhibited a thorough understanding of seismic design categories and soil liquefaction mitigation strategies. The structural integration plans reviewed showed precise calculations for lateral load resistance, ensuring that structures can withstand significant seismic events. Furthermore, the</w:t>
      </w:r>
      <w:r>
        <w:t xml:space="preserve"> </w:t>
      </w:r>
      <w:r>
        <w:rPr>
          <w:bCs/>
          <w:b/>
        </w:rPr>
        <w:t xml:space="preserve">Architect</w:t>
      </w:r>
      <w:r>
        <w:t xml:space="preserve"> </w:t>
      </w:r>
      <w:r>
        <w:t xml:space="preserve">successfully navigated the requirements of the San Francisco Planning Department, particularly regarding height limits, setback requirements, and view corridor preservation, which are stringent in this urban environment.</w:t>
      </w:r>
    </w:p>
    <w:p>
      <w:pPr>
        <w:pStyle w:val="BodyText"/>
      </w:pPr>
      <w:r>
        <w:rPr>
          <w:bCs/>
          <w:b/>
        </w:rPr>
        <w:t xml:space="preserve">Key Finding:</w:t>
      </w:r>
      <w:r>
        <w:t xml:space="preserve"> </w:t>
      </w:r>
      <w:r>
        <w:t xml:space="preserve">The</w:t>
      </w:r>
      <w:r>
        <w:t xml:space="preserve"> </w:t>
      </w:r>
      <w:r>
        <w:rPr>
          <w:bCs/>
          <w:b/>
        </w:rPr>
        <w:t xml:space="preserve">Architect</w:t>
      </w:r>
      <w:r>
        <w:t xml:space="preserve">'s documentation for the Mission District retrofit project demonstrated exemplary compliance with the San Francisco Historic Preservation Commission guidelines, balancing modern safety upgrades with the preservation of Victorian-era aesthetics.</w:t>
      </w:r>
    </w:p>
    <w:bookmarkEnd w:id="22"/>
    <w:bookmarkStart w:id="23" w:name="Xa647aea48943cf6d5aff0b1f0917ee920c7952d"/>
    <w:p>
      <w:pPr>
        <w:pStyle w:val="Heading2"/>
      </w:pPr>
      <w:r>
        <w:t xml:space="preserve">3. Sustainability and Environmental Stewardship</w:t>
      </w:r>
    </w:p>
    <w:p>
      <w:pPr>
        <w:pStyle w:val="FirstParagraph"/>
      </w:pPr>
      <w:r>
        <w:t xml:space="preserve">Given</w:t>
      </w:r>
      <w:r>
        <w:t xml:space="preserve"> </w:t>
      </w:r>
      <w:r>
        <w:rPr>
          <w:bCs/>
          <w:b/>
        </w:rPr>
        <w:t xml:space="preserve">United States San Francisco</w:t>
      </w:r>
      <w:r>
        <w:t xml:space="preserve">'s aggressive climate action goals, this</w:t>
      </w:r>
      <w:r>
        <w:t xml:space="preserve"> </w:t>
      </w:r>
      <w:r>
        <w:rPr>
          <w:bCs/>
          <w:b/>
        </w:rPr>
        <w:t xml:space="preserve">Peer Review Report</w:t>
      </w:r>
      <w:r>
        <w:t xml:space="preserve"> </w:t>
      </w:r>
      <w:r>
        <w:t xml:space="preserve">places significant emphasis on sustainable design practices. The</w:t>
      </w:r>
      <w:r>
        <w:t xml:space="preserve"> </w:t>
      </w:r>
      <w:r>
        <w:rPr>
          <w:bCs/>
          <w:b/>
        </w:rPr>
        <w:t xml:space="preserve">Architect</w:t>
      </w:r>
      <w:r>
        <w:t xml:space="preserve"> </w:t>
      </w:r>
      <w:r>
        <w:t xml:space="preserve">was evaluated on their implementation of green building standards, including LEED (Leadership in Energy and Environmental Design) and the San Francisco Green Building Ordinance.</w:t>
      </w:r>
    </w:p>
    <w:p>
      <w:pPr>
        <w:pStyle w:val="BodyText"/>
      </w:pPr>
      <w:r>
        <w:t xml:space="preserve">The review confirms that the</w:t>
      </w:r>
      <w:r>
        <w:t xml:space="preserve"> </w:t>
      </w:r>
      <w:r>
        <w:rPr>
          <w:bCs/>
          <w:b/>
        </w:rPr>
        <w:t xml:space="preserve">Architect</w:t>
      </w:r>
      <w:r>
        <w:t xml:space="preserve"> </w:t>
      </w:r>
      <w:r>
        <w:t xml:space="preserve">consistently integrates energy-efficient systems, renewable energy sources, and sustainable material selection into their designs. Specific attention was paid to the reduction of embodied carbon in construction materials, a growing priority in the Bay Area. The</w:t>
      </w:r>
      <w:r>
        <w:t xml:space="preserve"> </w:t>
      </w:r>
      <w:r>
        <w:rPr>
          <w:bCs/>
          <w:b/>
        </w:rPr>
        <w:t xml:space="preserve">Architect</w:t>
      </w:r>
      <w:r>
        <w:t xml:space="preserve">'s use of mass timber in recent commercial projects aligns perfectly with the city's push towards low-carbon construction methods. Additionally, the water conservation strategies employed in landscape architecture reflect a deep understanding of California's water scarcity issues.</w:t>
      </w:r>
    </w:p>
    <w:bookmarkEnd w:id="23"/>
    <w:bookmarkStart w:id="24" w:name="technical-proficiency-and-design-quality"/>
    <w:p>
      <w:pPr>
        <w:pStyle w:val="Heading2"/>
      </w:pPr>
      <w:r>
        <w:t xml:space="preserve">4. Technical Proficiency and Design Quality</w:t>
      </w:r>
    </w:p>
    <w:p>
      <w:pPr>
        <w:pStyle w:val="FirstParagraph"/>
      </w:pPr>
      <w:r>
        <w:t xml:space="preserve">The technical capabilities of the</w:t>
      </w:r>
      <w:r>
        <w:t xml:space="preserve"> </w:t>
      </w:r>
      <w:r>
        <w:rPr>
          <w:bCs/>
          <w:b/>
        </w:rPr>
        <w:t xml:space="preserve">Architect</w:t>
      </w:r>
      <w:r>
        <w:t xml:space="preserve"> </w:t>
      </w:r>
      <w:r>
        <w:t xml:space="preserve">were assessed through a detailed review of construction documents, BIM (Building Information Modeling) coordination, and site observation reports. In the competitive market of</w:t>
      </w:r>
      <w:r>
        <w:t xml:space="preserve"> </w:t>
      </w:r>
      <w:r>
        <w:rPr>
          <w:bCs/>
          <w:b/>
        </w:rPr>
        <w:t xml:space="preserve">United States San Francisco</w:t>
      </w:r>
      <w:r>
        <w:t xml:space="preserve">, precision is paramount. The</w:t>
      </w:r>
      <w:r>
        <w:t xml:space="preserve"> </w:t>
      </w:r>
      <w:r>
        <w:rPr>
          <w:bCs/>
          <w:b/>
        </w:rPr>
        <w:t xml:space="preserve">Architect</w:t>
      </w:r>
      <w:r>
        <w:t xml:space="preserve"> </w:t>
      </w:r>
      <w:r>
        <w:t xml:space="preserve">demonstrated advanced proficiency in BIM technology, facilitating seamless collaboration between structural engineers, MEP (Mechanical, Electrical, and Plumbing) consultants, and contractors.</w:t>
      </w:r>
    </w:p>
    <w:p>
      <w:pPr>
        <w:pStyle w:val="BodyText"/>
      </w:pPr>
      <w:r>
        <w:t xml:space="preserve">The design quality was evaluated based on functionality, aesthetics, and user experience. The</w:t>
      </w:r>
      <w:r>
        <w:t xml:space="preserve"> </w:t>
      </w:r>
      <w:r>
        <w:rPr>
          <w:bCs/>
          <w:b/>
        </w:rPr>
        <w:t xml:space="preserve">Architect</w:t>
      </w:r>
      <w:r>
        <w:t xml:space="preserve">'s ability to create spaces that are both visually striking and highly functional was evident in the reviewed residential and commercial projects. The integration of public spaces and pedestrian-friendly designs reflects a commitment to urban livability, a core value in San Francisco's urban planning philosophy.</w:t>
      </w:r>
    </w:p>
    <w:bookmarkEnd w:id="24"/>
    <w:bookmarkStart w:id="25" w:name="professional-ethics-and-client-relations"/>
    <w:p>
      <w:pPr>
        <w:pStyle w:val="Heading2"/>
      </w:pPr>
      <w:r>
        <w:t xml:space="preserve">5. Professional Ethics and Client Relations</w:t>
      </w:r>
    </w:p>
    <w:p>
      <w:pPr>
        <w:pStyle w:val="FirstParagraph"/>
      </w:pPr>
      <w:r>
        <w:t xml:space="preserve">This</w:t>
      </w:r>
      <w:r>
        <w:t xml:space="preserve"> </w:t>
      </w:r>
      <w:r>
        <w:rPr>
          <w:bCs/>
          <w:b/>
        </w:rPr>
        <w:t xml:space="preserve">Peer Review Report</w:t>
      </w:r>
      <w:r>
        <w:t xml:space="preserve"> </w:t>
      </w:r>
      <w:r>
        <w:t xml:space="preserve">also considers the ethical conduct of the</w:t>
      </w:r>
      <w:r>
        <w:t xml:space="preserve"> </w:t>
      </w:r>
      <w:r>
        <w:rPr>
          <w:bCs/>
          <w:b/>
        </w:rPr>
        <w:t xml:space="preserve">Architect</w:t>
      </w:r>
      <w:r>
        <w:t xml:space="preserve">. Adherence to the AIA Code of Ethics and Professional Conduct was verified. The</w:t>
      </w:r>
      <w:r>
        <w:t xml:space="preserve"> </w:t>
      </w:r>
      <w:r>
        <w:rPr>
          <w:bCs/>
          <w:b/>
        </w:rPr>
        <w:t xml:space="preserve">Architect</w:t>
      </w:r>
      <w:r>
        <w:t xml:space="preserve"> </w:t>
      </w:r>
      <w:r>
        <w:t xml:space="preserve">was found to maintain transparent communication with clients, stakeholders, and regulatory bodies in</w:t>
      </w:r>
      <w:r>
        <w:t xml:space="preserve"> </w:t>
      </w:r>
      <w:r>
        <w:rPr>
          <w:bCs/>
          <w:b/>
        </w:rPr>
        <w:t xml:space="preserve">United States San Francisco</w:t>
      </w:r>
      <w:r>
        <w:t xml:space="preserve">. There were no reported instances of conflicts of interest or ethical breaches. The</w:t>
      </w:r>
      <w:r>
        <w:t xml:space="preserve"> </w:t>
      </w:r>
      <w:r>
        <w:rPr>
          <w:bCs/>
          <w:b/>
        </w:rPr>
        <w:t xml:space="preserve">Architect</w:t>
      </w:r>
      <w:r>
        <w:t xml:space="preserve">'s commitment to community engagement, particularly in projects affecting low-income neighborhoods, was noted as a positive attribute.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Architect</w:t>
      </w:r>
      <w:r>
        <w:t xml:space="preserve"> </w:t>
      </w:r>
      <w:r>
        <w:t xml:space="preserve">is deemed fully competent and compliant with all relevant standards in</w:t>
      </w:r>
      <w:r>
        <w:t xml:space="preserve"> </w:t>
      </w:r>
      <w:r>
        <w:rPr>
          <w:bCs/>
          <w:b/>
        </w:rPr>
        <w:t xml:space="preserve">United States San Francisco</w:t>
      </w:r>
      <w:r>
        <w:t xml:space="preserve">. The following recommendations are made to further enhance the practice:</w:t>
      </w:r>
    </w:p>
    <w:p>
      <w:pPr>
        <w:numPr>
          <w:ilvl w:val="0"/>
          <w:numId w:val="1001"/>
        </w:numPr>
        <w:pStyle w:val="Compact"/>
      </w:pPr>
      <w:r>
        <w:t xml:space="preserve">Continue to prioritize seismic resilience research and implementation in all future projects.</w:t>
      </w:r>
    </w:p>
    <w:p>
      <w:pPr>
        <w:numPr>
          <w:ilvl w:val="0"/>
          <w:numId w:val="1001"/>
        </w:numPr>
        <w:pStyle w:val="Compact"/>
      </w:pPr>
      <w:r>
        <w:t xml:space="preserve">Expand the use of circular economy principles in material sourcing to further reduce environmental impact.</w:t>
      </w:r>
    </w:p>
    <w:p>
      <w:pPr>
        <w:numPr>
          <w:ilvl w:val="0"/>
          <w:numId w:val="1001"/>
        </w:numPr>
        <w:pStyle w:val="Compact"/>
      </w:pPr>
      <w:r>
        <w:t xml:space="preserve">Engage more deeply with local community boards during the early design phases to ensure broader public support.</w:t>
      </w:r>
    </w:p>
    <w:p>
      <w:pPr>
        <w:pStyle w:val="FirstParagraph"/>
      </w:pPr>
      <w:r>
        <w:t xml:space="preserve">In conclusion, the</w:t>
      </w:r>
      <w:r>
        <w:t xml:space="preserve"> </w:t>
      </w:r>
      <w:r>
        <w:rPr>
          <w:bCs/>
          <w:b/>
        </w:rPr>
        <w:t xml:space="preserve">Architect</w:t>
      </w:r>
      <w:r>
        <w:t xml:space="preserve"> </w:t>
      </w:r>
      <w:r>
        <w:t xml:space="preserve">represents a high standard of professional practice. Their work contributes positively to the built environment of</w:t>
      </w:r>
      <w:r>
        <w:t xml:space="preserve"> </w:t>
      </w:r>
      <w:r>
        <w:rPr>
          <w:bCs/>
          <w:b/>
        </w:rPr>
        <w:t xml:space="preserve">United States San Francisco</w:t>
      </w:r>
      <w:r>
        <w:t xml:space="preserve">, ensuring safety, sustainability, and aesthetic excellence. This</w:t>
      </w:r>
      <w:r>
        <w:t xml:space="preserve"> </w:t>
      </w:r>
      <w:r>
        <w:rPr>
          <w:bCs/>
          <w:b/>
        </w:rPr>
        <w:t xml:space="preserve">Peer Review Report</w:t>
      </w:r>
      <w:r>
        <w:t xml:space="preserve"> </w:t>
      </w:r>
      <w:r>
        <w:t xml:space="preserve">serves as a formal endorsement of their qualifications and ongoing commitment to the architectural profession.</w:t>
      </w:r>
    </w:p>
    <w:bookmarkEnd w:id="26"/>
    <w:bookmarkStart w:id="27" w:name="review-committee-signatures"/>
    <w:p>
      <w:pPr>
        <w:pStyle w:val="Heading3"/>
      </w:pPr>
      <w:r>
        <w:t xml:space="preserve">Review Committee Signatures</w:t>
      </w:r>
    </w:p>
    <w:p>
      <w:pPr>
        <w:pStyle w:val="FirstParagraph"/>
      </w:pPr>
      <w:r>
        <w:rPr>
          <w:bCs/>
          <w:b/>
        </w:rPr>
        <w:t xml:space="preserve">Lead Reviewer</w:t>
      </w:r>
      <w:r>
        <w:br/>
      </w:r>
      <w:r>
        <w:t xml:space="preserve">Senior Architect, AIA, LEED AP</w:t>
      </w:r>
      <w:r>
        <w:br/>
      </w:r>
      <w:r>
        <w:t xml:space="preserve">San Francisco Chapter</w:t>
      </w:r>
    </w:p>
    <w:p>
      <w:pPr>
        <w:pStyle w:val="BodyText"/>
      </w:pPr>
      <w:r>
        <w:rPr>
          <w:bCs/>
          <w:b/>
        </w:rPr>
        <w:t xml:space="preserve">Structural Consultant</w:t>
      </w:r>
      <w:r>
        <w:br/>
      </w:r>
      <w:r>
        <w:t xml:space="preserve">Licensed Structural Engineer, SE</w:t>
      </w:r>
      <w:r>
        <w:br/>
      </w:r>
      <w:r>
        <w:t xml:space="preserve">California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 - San Francisco, United States</dc:title>
  <dc:creator/>
  <dc:language>en</dc:language>
  <cp:keywords/>
  <dcterms:created xsi:type="dcterms:W3CDTF">2026-10-10T08:09:52Z</dcterms:created>
  <dcterms:modified xsi:type="dcterms:W3CDTF">2026-10-10T08:09:52Z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