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Professional Evaluation of Architectural Competence and Project Execution</w:t>
      </w:r>
    </w:p>
    <w:p>
      <w:pPr>
        <w:pStyle w:val="BodyText"/>
      </w:pPr>
      <w:r>
        <w:t xml:space="preserve">Location:</w:t>
      </w:r>
      <w:r>
        <w:t xml:space="preserve"> </w:t>
      </w:r>
      <w:r>
        <w:t xml:space="preserve">Tashkent, Uzbekistan</w:t>
      </w:r>
    </w:p>
    <w:p>
      <w:pPr>
        <w:pStyle w:val="BodyText"/>
      </w:pPr>
      <w:r>
        <w:t xml:space="preserve">Date:</w:t>
      </w:r>
      <w:r>
        <w:t xml:space="preserve"> </w:t>
      </w:r>
      <w:r>
        <w:t xml:space="preserve">October 24, 2023</w:t>
      </w:r>
    </w:p>
    <w:p>
      <w:pPr>
        <w:pStyle w:val="BodyText"/>
      </w:pPr>
      <w:r>
        <w:t xml:space="preserve">Report ID:</w:t>
      </w:r>
      <w:r>
        <w:t xml:space="preserve"> </w:t>
      </w:r>
      <w:r>
        <w:t xml:space="preserve">TR-ARC-2023-089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technical proficiency, and regulatory compliance of the</w:t>
      </w:r>
      <w:r>
        <w:t xml:space="preserve"> </w:t>
      </w:r>
      <w:r>
        <w:rPr>
          <w:bCs/>
          <w:b/>
        </w:rPr>
        <w:t xml:space="preserve">Architect</w:t>
      </w:r>
      <w:r>
        <w:t xml:space="preserve"> </w:t>
      </w:r>
      <w:r>
        <w:t xml:space="preserve">responsible for the "Silk Road Modern" residential complex development. The review focuses specifically on the architectural standards applicable within</w:t>
      </w:r>
      <w:r>
        <w:t xml:space="preserve"> </w:t>
      </w:r>
      <w:r>
        <w:rPr>
          <w:bCs/>
          <w:b/>
        </w:rPr>
        <w:t xml:space="preserve">Uzbekistan Tashkent</w:t>
      </w:r>
      <w:r>
        <w:t xml:space="preserve">, considering the unique urban planning requirements, climatic conditions, and cultural heritage preservation mandates of the capital city.</w:t>
      </w:r>
    </w:p>
    <w:p>
      <w:pPr>
        <w:pStyle w:val="BodyText"/>
      </w:pPr>
      <w:r>
        <w:t xml:space="preserve">The assessment was conducted by a panel of senior architectural professionals registered with the relevant authorities in Uzbekistan. The primary objective was to determine whether the</w:t>
      </w:r>
      <w:r>
        <w:t xml:space="preserve"> </w:t>
      </w:r>
      <w:r>
        <w:rPr>
          <w:bCs/>
          <w:b/>
        </w:rPr>
        <w:t xml:space="preserve">Architect</w:t>
      </w:r>
      <w:r>
        <w:t xml:space="preserve"> </w:t>
      </w:r>
      <w:r>
        <w:t xml:space="preserve">has adhered to the State Building Norms and Rules (SNiP) currently enforced in Tashkent, while also demonstrating innovation and sustainability in design. The overall finding is that the</w:t>
      </w:r>
      <w:r>
        <w:t xml:space="preserve"> </w:t>
      </w:r>
      <w:r>
        <w:rPr>
          <w:bCs/>
          <w:b/>
        </w:rPr>
        <w:t xml:space="preserve">Architect</w:t>
      </w:r>
      <w:r>
        <w:t xml:space="preserve"> </w:t>
      </w:r>
      <w:r>
        <w:t xml:space="preserve">has demonstrated a high level of competence, successfully integrating modern architectural principles with the historical context of</w:t>
      </w:r>
      <w:r>
        <w:t xml:space="preserve"> </w:t>
      </w:r>
      <w:r>
        <w:rPr>
          <w:bCs/>
          <w:b/>
        </w:rPr>
        <w:t xml:space="preserve">Uzbekistan Tashkent</w:t>
      </w:r>
      <w:r>
        <w:t xml:space="preserve">.</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of the</w:t>
      </w:r>
      <w:r>
        <w:t xml:space="preserve"> </w:t>
      </w:r>
      <w:r>
        <w:rPr>
          <w:bCs/>
          <w:b/>
        </w:rPr>
        <w:t xml:space="preserve">Architect</w:t>
      </w:r>
      <w:r>
        <w:t xml:space="preserve">'s work:</w:t>
      </w:r>
    </w:p>
    <w:p>
      <w:pPr>
        <w:numPr>
          <w:ilvl w:val="0"/>
          <w:numId w:val="1001"/>
        </w:numPr>
        <w:pStyle w:val="Compact"/>
      </w:pPr>
      <w:r>
        <w:rPr>
          <w:bCs/>
          <w:b/>
        </w:rPr>
        <w:t xml:space="preserve">Design Concept and Aesthetics:</w:t>
      </w:r>
      <w:r>
        <w:t xml:space="preserve"> </w:t>
      </w:r>
      <w:r>
        <w:t xml:space="preserve">Evaluation of the visual harmony between the proposed structure and the surrounding urban fabric of Tashkent.</w:t>
      </w:r>
    </w:p>
    <w:p>
      <w:pPr>
        <w:numPr>
          <w:ilvl w:val="0"/>
          <w:numId w:val="1001"/>
        </w:numPr>
        <w:pStyle w:val="Compact"/>
      </w:pPr>
      <w:r>
        <w:rPr>
          <w:bCs/>
          <w:b/>
        </w:rPr>
        <w:t xml:space="preserve">Technical Documentation:</w:t>
      </w:r>
      <w:r>
        <w:t xml:space="preserve"> </w:t>
      </w:r>
      <w:r>
        <w:t xml:space="preserve">Verification of the accuracy and completeness of blueprints, structural calculations, and MEP (Mechanical, Electrical, Plumbing) coordination.</w:t>
      </w:r>
    </w:p>
    <w:p>
      <w:pPr>
        <w:numPr>
          <w:ilvl w:val="0"/>
          <w:numId w:val="1001"/>
        </w:numPr>
        <w:pStyle w:val="Compact"/>
      </w:pPr>
      <w:r>
        <w:rPr>
          <w:bCs/>
          <w:b/>
        </w:rPr>
        <w:t xml:space="preserve">Regulatory Compliance:</w:t>
      </w:r>
      <w:r>
        <w:t xml:space="preserve"> </w:t>
      </w:r>
      <w:r>
        <w:t xml:space="preserve">Strict adherence to the construction codes of</w:t>
      </w:r>
      <w:r>
        <w:t xml:space="preserve"> </w:t>
      </w:r>
      <w:r>
        <w:rPr>
          <w:bCs/>
          <w:b/>
        </w:rPr>
        <w:t xml:space="preserve">Uzbekistan Tashkent</w:t>
      </w:r>
      <w:r>
        <w:t xml:space="preserve">, including fire safety, seismic resistance, and zoning laws.</w:t>
      </w:r>
    </w:p>
    <w:p>
      <w:pPr>
        <w:numPr>
          <w:ilvl w:val="0"/>
          <w:numId w:val="1001"/>
        </w:numPr>
        <w:pStyle w:val="Compact"/>
      </w:pPr>
      <w:r>
        <w:rPr>
          <w:bCs/>
          <w:b/>
        </w:rPr>
        <w:t xml:space="preserve">Sustainability and Climate Responsiveness:</w:t>
      </w:r>
      <w:r>
        <w:t xml:space="preserve"> </w:t>
      </w:r>
      <w:r>
        <w:t xml:space="preserve">Assessment of energy efficiency measures suitable for the continental climate of the region.</w:t>
      </w:r>
    </w:p>
    <w:bookmarkEnd w:id="22"/>
    <w:bookmarkStart w:id="27" w:name="detailed-evaluation"/>
    <w:p>
      <w:pPr>
        <w:pStyle w:val="Heading2"/>
      </w:pPr>
      <w:r>
        <w:t xml:space="preserve">3. Detailed Evaluation</w:t>
      </w:r>
    </w:p>
    <w:bookmarkStart w:id="23" w:name="Xfda62bc8b67b410d880961085eae33ad0e45db4"/>
    <w:p>
      <w:pPr>
        <w:pStyle w:val="Heading3"/>
      </w:pPr>
      <w:r>
        <w:t xml:space="preserve">3.1 Contextual Integration and Cultural Sensitivity</w:t>
      </w:r>
    </w:p>
    <w:p>
      <w:pPr>
        <w:pStyle w:val="FirstParagraph"/>
      </w:pPr>
      <w:r>
        <w:t xml:space="preserve">One of the most critical aspects of practicing as an</w:t>
      </w:r>
      <w:r>
        <w:t xml:space="preserve"> </w:t>
      </w:r>
      <w:r>
        <w:rPr>
          <w:bCs/>
          <w:b/>
        </w:rPr>
        <w:t xml:space="preserve">Architect</w:t>
      </w:r>
      <w:r>
        <w:t xml:space="preserve"> </w:t>
      </w:r>
      <w:r>
        <w:t xml:space="preserve">in</w:t>
      </w:r>
      <w:r>
        <w:t xml:space="preserve"> </w:t>
      </w:r>
      <w:r>
        <w:rPr>
          <w:bCs/>
          <w:b/>
        </w:rPr>
        <w:t xml:space="preserve">Uzbekistan Tashkent</w:t>
      </w:r>
      <w:r>
        <w:t xml:space="preserve"> </w:t>
      </w:r>
      <w:r>
        <w:t xml:space="preserve">is the ability to respect the city's rich architectural heritage while embracing modernity. Tashkent is a city of contrasts, featuring Soviet-era brutalism alongside traditional Islamic architecture. The</w:t>
      </w:r>
      <w:r>
        <w:t xml:space="preserve"> </w:t>
      </w:r>
      <w:r>
        <w:rPr>
          <w:bCs/>
          <w:b/>
        </w:rPr>
        <w:t xml:space="preserve">Architect</w:t>
      </w:r>
      <w:r>
        <w:t xml:space="preserve"> </w:t>
      </w:r>
      <w:r>
        <w:t xml:space="preserve">under review has shown exceptional sensitivity to this context.</w:t>
      </w:r>
    </w:p>
    <w:p>
      <w:pPr>
        <w:pStyle w:val="BodyText"/>
      </w:pPr>
      <w:r>
        <w:t xml:space="preserve">The facade design incorporates geometric patterns reminiscent of traditional Uzbek tile work (kashi), reinterpreted through contemporary materials such as glass and aluminum composite panels. This approach ensures that the building does not appear alien within the neighborhood. The</w:t>
      </w:r>
      <w:r>
        <w:t xml:space="preserve"> </w:t>
      </w:r>
      <w:r>
        <w:rPr>
          <w:bCs/>
          <w:b/>
        </w:rPr>
        <w:t xml:space="preserve">Peer Review Report</w:t>
      </w:r>
      <w:r>
        <w:t xml:space="preserve"> </w:t>
      </w:r>
      <w:r>
        <w:t xml:space="preserve">commends the</w:t>
      </w:r>
      <w:r>
        <w:t xml:space="preserve"> </w:t>
      </w:r>
      <w:r>
        <w:rPr>
          <w:bCs/>
          <w:b/>
        </w:rPr>
        <w:t xml:space="preserve">Architect</w:t>
      </w:r>
      <w:r>
        <w:t xml:space="preserve"> </w:t>
      </w:r>
      <w:r>
        <w:t xml:space="preserve">for avoiding generic international styles that often clash with the local identity of Tashkent. The massing of the building also respects the height restrictions imposed by the city planning department to preserve sightlines to historical landmarks.</w:t>
      </w:r>
    </w:p>
    <w:bookmarkEnd w:id="23"/>
    <w:bookmarkStart w:id="24" w:name="X551108ab27db206a5615aa7736edc94b0ae8541"/>
    <w:p>
      <w:pPr>
        <w:pStyle w:val="Heading3"/>
      </w:pPr>
      <w:r>
        <w:t xml:space="preserve">3.2 Technical Proficiency and Seismic Considerations</w:t>
      </w:r>
    </w:p>
    <w:p>
      <w:pPr>
        <w:pStyle w:val="FirstParagraph"/>
      </w:pPr>
      <w:r>
        <w:t xml:space="preserve">Given the seismic activity in the region, the technical rigor of the</w:t>
      </w:r>
      <w:r>
        <w:t xml:space="preserve"> </w:t>
      </w:r>
      <w:r>
        <w:rPr>
          <w:bCs/>
          <w:b/>
        </w:rPr>
        <w:t xml:space="preserve">Architect</w:t>
      </w:r>
      <w:r>
        <w:t xml:space="preserve"> </w:t>
      </w:r>
      <w:r>
        <w:t xml:space="preserve">is paramount. The review panel examined the structural coordination documents and found them to be robust. The</w:t>
      </w:r>
      <w:r>
        <w:t xml:space="preserve"> </w:t>
      </w:r>
      <w:r>
        <w:rPr>
          <w:bCs/>
          <w:b/>
        </w:rPr>
        <w:t xml:space="preserve">Architect</w:t>
      </w:r>
      <w:r>
        <w:t xml:space="preserve"> </w:t>
      </w:r>
      <w:r>
        <w:t xml:space="preserve">has collaborated effectively with structural engineers to ensure that the design meets the stringent seismic safety standards required in</w:t>
      </w:r>
      <w:r>
        <w:t xml:space="preserve"> </w:t>
      </w:r>
      <w:r>
        <w:rPr>
          <w:bCs/>
          <w:b/>
        </w:rPr>
        <w:t xml:space="preserve">Uzbekistan Tashkent</w:t>
      </w:r>
      <w:r>
        <w:t xml:space="preserve">.</w:t>
      </w:r>
    </w:p>
    <w:p>
      <w:pPr>
        <w:pStyle w:val="BodyText"/>
      </w:pPr>
      <w:r>
        <w:t xml:space="preserve">The use of reinforced concrete frames with shear walls is appropriate for the soil conditions of the specific district in Tashkent. Furthermore, the detailing of connections and load paths is clearly documented. The</w:t>
      </w:r>
      <w:r>
        <w:t xml:space="preserve"> </w:t>
      </w:r>
      <w:r>
        <w:rPr>
          <w:bCs/>
          <w:b/>
        </w:rPr>
        <w:t xml:space="preserve">Peer Review Report</w:t>
      </w:r>
      <w:r>
        <w:t xml:space="preserve"> </w:t>
      </w:r>
      <w:r>
        <w:t xml:space="preserve">notes that the</w:t>
      </w:r>
      <w:r>
        <w:t xml:space="preserve"> </w:t>
      </w:r>
      <w:r>
        <w:rPr>
          <w:bCs/>
          <w:b/>
        </w:rPr>
        <w:t xml:space="preserve">Architect</w:t>
      </w:r>
      <w:r>
        <w:t xml:space="preserve"> </w:t>
      </w:r>
      <w:r>
        <w:t xml:space="preserve">has anticipated potential construction challenges and provided detailed specifications to mitigate risks during the building phase.</w:t>
      </w:r>
    </w:p>
    <w:bookmarkEnd w:id="24"/>
    <w:bookmarkStart w:id="25" w:name="X67fa9236496543c2c56cd0619e64f7a1eb08b53"/>
    <w:p>
      <w:pPr>
        <w:pStyle w:val="Heading3"/>
      </w:pPr>
      <w:r>
        <w:t xml:space="preserve">3.3 Climate Responsiveness and Sustainability</w:t>
      </w:r>
    </w:p>
    <w:p>
      <w:pPr>
        <w:pStyle w:val="FirstParagraph"/>
      </w:pPr>
      <w:r>
        <w:t xml:space="preserve">Tashkent experiences hot summers and cold winters, requiring a design strategy that prioritizes thermal comfort. The</w:t>
      </w:r>
      <w:r>
        <w:t xml:space="preserve"> </w:t>
      </w:r>
      <w:r>
        <w:rPr>
          <w:bCs/>
          <w:b/>
        </w:rPr>
        <w:t xml:space="preserve">Architect</w:t>
      </w:r>
      <w:r>
        <w:t xml:space="preserve"> </w:t>
      </w:r>
      <w:r>
        <w:t xml:space="preserve">has implemented passive design strategies that are highly effective. Deep overhangs and balconies provide shading during the intense summer sun, reducing the cooling load on HVAC systems.</w:t>
      </w:r>
    </w:p>
    <w:p>
      <w:pPr>
        <w:pStyle w:val="BodyText"/>
      </w:pPr>
      <w:r>
        <w:t xml:space="preserve">Additionally, the orientation of the building maximizes natural light while minimizing heat gain. The</w:t>
      </w:r>
      <w:r>
        <w:t xml:space="preserve"> </w:t>
      </w:r>
      <w:r>
        <w:rPr>
          <w:bCs/>
          <w:b/>
        </w:rPr>
        <w:t xml:space="preserve">Peer Review Report</w:t>
      </w:r>
      <w:r>
        <w:t xml:space="preserve"> </w:t>
      </w:r>
      <w:r>
        <w:t xml:space="preserve">highlights the inclusion of high-performance glazing and insulation materials that exceed the minimum requirements of the national building codes. This forward-thinking approach by the</w:t>
      </w:r>
      <w:r>
        <w:t xml:space="preserve"> </w:t>
      </w:r>
      <w:r>
        <w:rPr>
          <w:bCs/>
          <w:b/>
        </w:rPr>
        <w:t xml:space="preserve">Architect</w:t>
      </w:r>
      <w:r>
        <w:t xml:space="preserve"> </w:t>
      </w:r>
      <w:r>
        <w:t xml:space="preserve">aligns with the growing emphasis on sustainable development in</w:t>
      </w:r>
      <w:r>
        <w:t xml:space="preserve"> </w:t>
      </w:r>
      <w:r>
        <w:rPr>
          <w:bCs/>
          <w:b/>
        </w:rPr>
        <w:t xml:space="preserve">Uzbekistan Tashkent</w:t>
      </w:r>
      <w:r>
        <w:t xml:space="preserve">.</w:t>
      </w:r>
    </w:p>
    <w:bookmarkEnd w:id="25"/>
    <w:bookmarkStart w:id="26" w:name="regulatory-compliance-and-documentation"/>
    <w:p>
      <w:pPr>
        <w:pStyle w:val="Heading3"/>
      </w:pPr>
      <w:r>
        <w:t xml:space="preserve">3.4 Regulatory Compliance and Documentation</w:t>
      </w:r>
    </w:p>
    <w:p>
      <w:pPr>
        <w:pStyle w:val="FirstParagraph"/>
      </w:pPr>
      <w:r>
        <w:t xml:space="preserve">Navigating the regulatory landscape in</w:t>
      </w:r>
      <w:r>
        <w:t xml:space="preserve"> </w:t>
      </w:r>
      <w:r>
        <w:rPr>
          <w:bCs/>
          <w:b/>
        </w:rPr>
        <w:t xml:space="preserve">Uzbekistan Tashkent</w:t>
      </w:r>
      <w:r>
        <w:t xml:space="preserve"> </w:t>
      </w:r>
      <w:r>
        <w:t xml:space="preserve">requires meticulous attention to detail. The</w:t>
      </w:r>
      <w:r>
        <w:t xml:space="preserve"> </w:t>
      </w:r>
      <w:r>
        <w:rPr>
          <w:bCs/>
          <w:b/>
        </w:rPr>
        <w:t xml:space="preserve">Architect</w:t>
      </w:r>
      <w:r>
        <w:t xml:space="preserve"> </w:t>
      </w:r>
      <w:r>
        <w:t xml:space="preserve">has demonstrated a thorough understanding of the local permitting process. All submitted documents comply with the latest State Building Norms and Rules (SNiP).</w:t>
      </w:r>
    </w:p>
    <w:p>
      <w:pPr>
        <w:pStyle w:val="BodyText"/>
      </w:pPr>
      <w:r>
        <w:t xml:space="preserve">The</w:t>
      </w:r>
      <w:r>
        <w:t xml:space="preserve"> </w:t>
      </w:r>
      <w:r>
        <w:rPr>
          <w:bCs/>
          <w:b/>
        </w:rPr>
        <w:t xml:space="preserve">Peer Review Report</w:t>
      </w:r>
      <w:r>
        <w:t xml:space="preserve"> </w:t>
      </w:r>
      <w:r>
        <w:t xml:space="preserve">confirms that the fire safety egress routes, accessibility features for persons with disabilities, and parking ratios all meet or exceed the legal requirements. The clarity of the construction drawings will facilitate smooth communication with contractors and inspectors, reducing the likelihood of delays or rework.</w:t>
      </w:r>
    </w:p>
    <w:bookmarkEnd w:id="26"/>
    <w:bookmarkEnd w:id="27"/>
    <w:bookmarkStart w:id="28" w:name="recommendations"/>
    <w:p>
      <w:pPr>
        <w:pStyle w:val="Heading2"/>
      </w:pPr>
      <w:r>
        <w:t xml:space="preserve">4. Recommendations</w:t>
      </w:r>
    </w:p>
    <w:p>
      <w:pPr>
        <w:pStyle w:val="FirstParagraph"/>
      </w:pPr>
      <w:r>
        <w:t xml:space="preserve">While the overall performance of the</w:t>
      </w:r>
      <w:r>
        <w:t xml:space="preserve"> </w:t>
      </w:r>
      <w:r>
        <w:rPr>
          <w:bCs/>
          <w:b/>
        </w:rPr>
        <w:t xml:space="preserve">Architect</w:t>
      </w:r>
      <w:r>
        <w:t xml:space="preserve"> </w:t>
      </w:r>
      <w:r>
        <w:t xml:space="preserve">is exemplary, the</w:t>
      </w:r>
      <w:r>
        <w:t xml:space="preserve"> </w:t>
      </w:r>
      <w:r>
        <w:rPr>
          <w:bCs/>
          <w:b/>
        </w:rPr>
        <w:t xml:space="preserve">Peer Review Report</w:t>
      </w:r>
      <w:r>
        <w:t xml:space="preserve"> </w:t>
      </w:r>
      <w:r>
        <w:t xml:space="preserve">offers the following recommendations for future projects in</w:t>
      </w:r>
      <w:r>
        <w:t xml:space="preserve"> </w:t>
      </w:r>
      <w:r>
        <w:rPr>
          <w:bCs/>
          <w:b/>
        </w:rPr>
        <w:t xml:space="preserve">Uzbekistan Tashkent</w:t>
      </w:r>
      <w:r>
        <w:t xml:space="preserve">:</w:t>
      </w:r>
    </w:p>
    <w:p>
      <w:pPr>
        <w:numPr>
          <w:ilvl w:val="0"/>
          <w:numId w:val="1002"/>
        </w:numPr>
        <w:pStyle w:val="Compact"/>
      </w:pPr>
      <w:r>
        <w:rPr>
          <w:bCs/>
          <w:b/>
        </w:rPr>
        <w:t xml:space="preserve">Green Roof Integration:</w:t>
      </w:r>
      <w:r>
        <w:t xml:space="preserve"> </w:t>
      </w:r>
      <w:r>
        <w:t xml:space="preserve">Consider incorporating green roof technologies more extensively to further mitigate the urban heat island effect common in Tashkent.</w:t>
      </w:r>
    </w:p>
    <w:p>
      <w:pPr>
        <w:numPr>
          <w:ilvl w:val="0"/>
          <w:numId w:val="1002"/>
        </w:numPr>
        <w:pStyle w:val="Compact"/>
      </w:pPr>
      <w:r>
        <w:rPr>
          <w:bCs/>
          <w:b/>
        </w:rPr>
        <w:t xml:space="preserve">Local Material Sourcing:</w:t>
      </w:r>
      <w:r>
        <w:t xml:space="preserve"> </w:t>
      </w:r>
      <w:r>
        <w:t xml:space="preserve">Increase the specification of locally sourced materials to support the regional economy and reduce the carbon footprint associated with transportation.</w:t>
      </w:r>
    </w:p>
    <w:p>
      <w:pPr>
        <w:numPr>
          <w:ilvl w:val="0"/>
          <w:numId w:val="1002"/>
        </w:numPr>
        <w:pStyle w:val="Compact"/>
      </w:pPr>
      <w:r>
        <w:rPr>
          <w:bCs/>
          <w:b/>
        </w:rPr>
        <w:t xml:space="preserve">Community Spaces:</w:t>
      </w:r>
      <w:r>
        <w:t xml:space="preserve"> </w:t>
      </w:r>
      <w:r>
        <w:t xml:space="preserve">Enhance the design of ground-floor communal areas to foster social interaction, reflecting the communal nature of Uzbek culture.</w:t>
      </w:r>
    </w:p>
    <w:bookmarkEnd w:id="28"/>
    <w:bookmarkStart w:id="29"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has delivered a project of high quality that is technically sound, aesthetically pleasing, and culturally appropriate for</w:t>
      </w:r>
      <w:r>
        <w:t xml:space="preserve"> </w:t>
      </w:r>
      <w:r>
        <w:rPr>
          <w:bCs/>
          <w:b/>
        </w:rPr>
        <w:t xml:space="preserve">Uzbekistan Tashkent</w:t>
      </w:r>
      <w:r>
        <w:t xml:space="preserve">. The</w:t>
      </w:r>
      <w:r>
        <w:t xml:space="preserve"> </w:t>
      </w:r>
      <w:r>
        <w:rPr>
          <w:bCs/>
          <w:b/>
        </w:rPr>
        <w:t xml:space="preserve">Architect</w:t>
      </w:r>
      <w:r>
        <w:t xml:space="preserve"> </w:t>
      </w:r>
      <w:r>
        <w:t xml:space="preserve">has successfully balanced the demands of modern living with the regulatory and environmental constraints of the region. The project serves as a model for future architectural developments in the capital, demonstrating that rigorous professional standards can coexist with creative innovation.</w:t>
      </w:r>
    </w:p>
    <w:p>
      <w:pPr>
        <w:pStyle w:val="BodyText"/>
      </w:pPr>
      <w:r>
        <w:rPr>
          <w:bCs/>
          <w:b/>
        </w:rPr>
        <w:t xml:space="preserve">Final Rating:</w:t>
      </w:r>
      <w:r>
        <w:t xml:space="preserve"> </w:t>
      </w:r>
      <w:r>
        <w:t xml:space="preserve">Highly Recommended</w:t>
      </w:r>
      <w:r>
        <w:br/>
      </w:r>
      <w:r>
        <w:rPr>
          <w:bCs/>
          <w:b/>
        </w:rPr>
        <w:t xml:space="preserve">Compliance Status:</w:t>
      </w:r>
      <w:r>
        <w:t xml:space="preserve"> </w:t>
      </w:r>
      <w:r>
        <w:t xml:space="preserve">Fully Compliant with Tashkent Building Codes</w:t>
      </w:r>
    </w:p>
    <w:bookmarkEnd w:id="29"/>
    <w:p>
      <w:pPr>
        <w:pStyle w:val="BodyText"/>
      </w:pPr>
      <w:r>
        <w:rPr>
          <w:bCs/>
          <w:b/>
        </w:rPr>
        <w:t xml:space="preserve">Prepared By:</w:t>
      </w:r>
    </w:p>
    <w:p>
      <w:pPr>
        <w:pStyle w:val="BodyText"/>
      </w:pPr>
      <w:r>
        <w:t xml:space="preserve">Senior Review Panel Chair</w:t>
      </w:r>
    </w:p>
    <w:p>
      <w:pPr>
        <w:pStyle w:val="BodyText"/>
      </w:pPr>
      <w:r>
        <w:rPr>
          <w:bCs/>
          <w:b/>
        </w:rPr>
        <w:t xml:space="preserve">Reviewed By:</w:t>
      </w:r>
    </w:p>
    <w:p>
      <w:pPr>
        <w:pStyle w:val="BodyText"/>
      </w:pPr>
      <w:r>
        <w:t xml:space="preserve">Tashkent Urban Planning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Tashkent, Uzbekistan</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