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Platform</w:t>
      </w:r>
      <w:r>
        <w:t xml:space="preserve"> </w:t>
      </w:r>
      <w:r>
        <w:t xml:space="preserve">Deployment</w:t>
      </w:r>
      <w:r>
        <w:t xml:space="preserve"> </w:t>
      </w:r>
      <w:r>
        <w:t xml:space="preserve">in</w:t>
      </w:r>
      <w:r>
        <w:t xml:space="preserve"> </w:t>
      </w:r>
      <w:r>
        <w:t xml:space="preserve">Indonesia</w:t>
      </w:r>
      <w:r>
        <w:t xml:space="preserve"> </w:t>
      </w:r>
      <w:r>
        <w:t xml:space="preserve">Jakarta</w:t>
      </w:r>
    </w:p>
    <w:bookmarkStart w:id="31" w:name="Xe30ff3fd053b5d3733462b3926d4601b0b4199c"/>
    <w:p>
      <w:pPr>
        <w:pStyle w:val="Heading1"/>
      </w:pPr>
      <w:r>
        <w:t xml:space="preserve">Peer Review Report: Astronomer Platform Deployment</w:t>
      </w:r>
    </w:p>
    <w:p>
      <w:pPr>
        <w:pStyle w:val="FirstParagraph"/>
      </w:pPr>
      <w:r>
        <w:rPr>
          <w:bCs/>
          <w:b/>
        </w:rPr>
        <w:t xml:space="preserve">Project:</w:t>
      </w:r>
      <w:r>
        <w:t xml:space="preserve"> </w:t>
      </w:r>
      <w:r>
        <w:t xml:space="preserve">Enterprise Data Orchestration Infrastructure</w:t>
      </w:r>
    </w:p>
    <w:p>
      <w:pPr>
        <w:pStyle w:val="BodyText"/>
      </w:pPr>
      <w:r>
        <w:rPr>
          <w:bCs/>
          <w:b/>
        </w:rPr>
        <w:t xml:space="preserve">Subject:</w:t>
      </w:r>
      <w:r>
        <w:t xml:space="preserve"> </w:t>
      </w:r>
      <w:r>
        <w:t xml:space="preserve">Implementation of Astronomer (Airflow-based) Platform</w:t>
      </w:r>
    </w:p>
    <w:p>
      <w:pPr>
        <w:pStyle w:val="BodyText"/>
      </w:pPr>
      <w:r>
        <w:rPr>
          <w:bCs/>
          <w:b/>
        </w:rPr>
        <w:t xml:space="preserve">Location Context:</w:t>
      </w:r>
      <w:r>
        <w:t xml:space="preserve"> </w:t>
      </w:r>
      <w:r>
        <w:t xml:space="preserve">Indonesia Jakarta (On-Premise/Hybrid Cloud)</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DevOps &amp; Data Engineering Architect</w:t>
      </w:r>
    </w:p>
    <w:bookmarkStart w:id="20" w:name="executive-summary"/>
    <w:p>
      <w:pPr>
        <w:pStyle w:val="Heading2"/>
      </w:pPr>
      <w:r>
        <w:t xml:space="preserve">1. Executive Summary</w:t>
      </w:r>
    </w:p>
    <w:p>
      <w:pPr>
        <w:pStyle w:val="FirstParagraph"/>
      </w:pPr>
      <w:r>
        <w:t xml:space="preserve">This Peer Review Report evaluates the proposed deployment architecture and operational strategy for the</w:t>
      </w:r>
      <w:r>
        <w:t xml:space="preserve"> </w:t>
      </w:r>
      <w:r>
        <w:rPr>
          <w:bCs/>
          <w:b/>
        </w:rPr>
        <w:t xml:space="preserve">Astronomer</w:t>
      </w:r>
      <w:r>
        <w:t xml:space="preserve"> </w:t>
      </w:r>
      <w:r>
        <w:t xml:space="preserve">platform within the organizational infrastructure located in</w:t>
      </w:r>
      <w:r>
        <w:t xml:space="preserve"> </w:t>
      </w:r>
      <w:r>
        <w:rPr>
          <w:bCs/>
          <w:b/>
        </w:rPr>
        <w:t xml:space="preserve">Indonesia Jakarta</w:t>
      </w:r>
      <w:r>
        <w:t xml:space="preserve">. The primary objective of this review is to assess the technical viability, performance implications, and compliance alignment of using Astronomer as the central orchestration engine for data pipelines.</w:t>
      </w:r>
    </w:p>
    <w:p>
      <w:pPr>
        <w:pStyle w:val="BodyText"/>
      </w:pPr>
      <w:r>
        <w:t xml:space="preserve">Given the rapid digital transformation occurring in Jakarta's financial and technology sectors, the demand for robust, scalable, and low-latency data orchestration is critical. This report analyzes how the Astronomer platform aligns with these local requirements, specifically focusing on network topology, data sovereignty regulations, and operational efficiency.</w:t>
      </w:r>
    </w:p>
    <w:bookmarkEnd w:id="20"/>
    <w:bookmarkStart w:id="23" w:name="technical-architecture-assessment"/>
    <w:p>
      <w:pPr>
        <w:pStyle w:val="Heading2"/>
      </w:pPr>
      <w:r>
        <w:t xml:space="preserve">2. Technical Architecture Assessment</w:t>
      </w:r>
    </w:p>
    <w:bookmarkStart w:id="21" w:name="deployment-model-suitability"/>
    <w:p>
      <w:pPr>
        <w:pStyle w:val="Heading3"/>
      </w:pPr>
      <w:r>
        <w:t xml:space="preserve">2.1 Deployment Model Suitability</w:t>
      </w:r>
    </w:p>
    <w:p>
      <w:pPr>
        <w:pStyle w:val="FirstParagraph"/>
      </w:pPr>
      <w:r>
        <w:t xml:space="preserve">The review confirms that the proposed deployment model for Astronomer is technically sound for the Jakarta environment. Whether utilizing Astronomer Software (self-managed) or Astronomer Cloud with a regional endpoint, the architecture must account for the specific network conditions in Indonesia.</w:t>
      </w:r>
    </w:p>
    <w:p>
      <w:pPr>
        <w:pStyle w:val="BodyText"/>
      </w:pPr>
      <w:r>
        <w:t xml:space="preserve">For an on-premise deployment in Jakarta, the Kubernetes cluster underlying Astronomer must be sized appropriately to handle the expected DAG (Directed Acyclic Graph) concurrency. The peer review highlights that the current resource allocation for the Airflow schedulers and web servers is adequate, provided that auto-scaling policies are strictly enforced to handle peak data loads typical of end-of-month financial reporting cycles common in Jakarta enterprises.</w:t>
      </w:r>
    </w:p>
    <w:bookmarkEnd w:id="21"/>
    <w:bookmarkStart w:id="22" w:name="network-latency-and-connectivity"/>
    <w:p>
      <w:pPr>
        <w:pStyle w:val="Heading3"/>
      </w:pPr>
      <w:r>
        <w:t xml:space="preserve">2.2 Network Latency and Connectivity</w:t>
      </w:r>
    </w:p>
    <w:p>
      <w:pPr>
        <w:pStyle w:val="FirstParagraph"/>
      </w:pPr>
      <w:r>
        <w:t xml:space="preserve">A critical aspect of this review is the network connectivity between the Astronomer control plane and the worker nodes. In the context of Indonesia Jakarta, internet connectivity can be variable. Therefore, the architecture must prioritize local data center interconnectivity over public internet routes for internal communication.</w:t>
      </w:r>
    </w:p>
    <w:p>
      <w:pPr>
        <w:pStyle w:val="BodyText"/>
      </w:pPr>
      <w:r>
        <w:t xml:space="preserve">The review recommends implementing a private VPC (Virtual Private Cloud) or a dedicated private network within the Jakarta data center to ensure that the Astronomer UI remains responsive and that task execution is not hindered by external latency. If the organization relies on cloud providers like AWS or GCP, the Jakarta region (ap-southeast-1 or asia-southeast1) must be explicitly selected to minimize latency for local users and data sources.</w:t>
      </w:r>
    </w:p>
    <w:bookmarkEnd w:id="22"/>
    <w:bookmarkEnd w:id="23"/>
    <w:bookmarkStart w:id="26" w:name="operational-efficiency-and-workflow"/>
    <w:p>
      <w:pPr>
        <w:pStyle w:val="Heading2"/>
      </w:pPr>
      <w:r>
        <w:t xml:space="preserve">3. Operational Efficiency and Workflow</w:t>
      </w:r>
    </w:p>
    <w:bookmarkStart w:id="24" w:name="developer-experience"/>
    <w:p>
      <w:pPr>
        <w:pStyle w:val="Heading3"/>
      </w:pPr>
      <w:r>
        <w:t xml:space="preserve">3.1 Developer Experience</w:t>
      </w:r>
    </w:p>
    <w:p>
      <w:pPr>
        <w:pStyle w:val="FirstParagraph"/>
      </w:pPr>
      <w:r>
        <w:t xml:space="preserve">Astronomer significantly enhances the developer experience compared to vanilla Apache Airflow. The peer review notes that the integrated CI/CD pipelines and the Astronomer CLI will streamline the deployment process for the engineering teams based in Jakarta. This is particularly beneficial for organizations aiming to adopt DevOps practices rapidly.</w:t>
      </w:r>
    </w:p>
    <w:p>
      <w:pPr>
        <w:pStyle w:val="BodyText"/>
      </w:pPr>
      <w:r>
        <w:t xml:space="preserve">The ability to manage environments (Development, Staging, Production) directly within the Astronomer interface reduces configuration drift. For a Jakarta-based team, this means faster iteration cycles and reduced downtime during deployments, which is crucial for maintaining business continuity in a 24/7 operational environment.</w:t>
      </w:r>
    </w:p>
    <w:bookmarkEnd w:id="24"/>
    <w:bookmarkStart w:id="25" w:name="monitoring-and-alerting"/>
    <w:p>
      <w:pPr>
        <w:pStyle w:val="Heading3"/>
      </w:pPr>
      <w:r>
        <w:t xml:space="preserve">3.2 Monitoring and Alerting</w:t>
      </w:r>
    </w:p>
    <w:p>
      <w:pPr>
        <w:pStyle w:val="FirstParagraph"/>
      </w:pPr>
      <w:r>
        <w:t xml:space="preserve">The review assesses the monitoring capabilities of Astronomer as robust. The platform provides detailed insights into DAG runs, task durations, and resource utilization. For the Jakarta context, it is recommended to integrate these metrics with local monitoring tools (such as Prometheus/Grafana stacks hosted locally) to ensure visibility even if external connections are disrupted.</w:t>
      </w:r>
    </w:p>
    <w:p>
      <w:pPr>
        <w:pStyle w:val="BodyText"/>
      </w:pPr>
      <w:r>
        <w:t xml:space="preserve">Alerting mechanisms should be configured to notify local stakeholders via preferred channels (e.g., WhatsApp Business API or local SMS gateways) to ensure immediate response to pipeline failures.</w:t>
      </w:r>
    </w:p>
    <w:bookmarkEnd w:id="25"/>
    <w:bookmarkEnd w:id="26"/>
    <w:bookmarkStart w:id="27" w:name="compliance-and-data-sovereignty"/>
    <w:p>
      <w:pPr>
        <w:pStyle w:val="Heading2"/>
      </w:pPr>
      <w:r>
        <w:t xml:space="preserve">4. Compliance and Data Sovereignty</w:t>
      </w:r>
    </w:p>
    <w:p>
      <w:pPr>
        <w:pStyle w:val="FirstParagraph"/>
      </w:pPr>
      <w:r>
        <w:t xml:space="preserve">One of the most significant considerations for deploying Astronomer in Indonesia Jakarta is compliance with local data regulations, specifically the Personal Data Protection Law (UU PDP). The peer review emphasizes that all data processed by the orchestrated pipelines must remain within Indonesian borders if it contains sensitive personal information.</w:t>
      </w:r>
    </w:p>
    <w:p>
      <w:pPr>
        <w:pStyle w:val="BodyText"/>
      </w:pPr>
      <w:r>
        <w:t xml:space="preserve">If using Astronomer Cloud, the organization must verify that the data residency options allow for storage and processing exclusively within the Jakarta region. For self-managed deployments (Astronomer Software), the organization retains full control over data location, which is often preferred by government entities and large financial institutions in Jakarta. The review concludes that the proposed architecture supports these compliance requirements, provided that encryption at rest and in transit is enforced across all components.</w:t>
      </w:r>
    </w:p>
    <w:bookmarkEnd w:id="27"/>
    <w:bookmarkStart w:id="28" w:name="risk-assessment"/>
    <w:p>
      <w:pPr>
        <w:pStyle w:val="Heading2"/>
      </w:pPr>
      <w:r>
        <w:t xml:space="preserve">5. Risk Assessment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Risk Factor</w:t>
            </w:r>
          </w:p>
        </w:tc>
        <w:tc>
          <w:tcPr/>
          <w:p>
            <w:pPr>
              <w:pStyle w:val="Compact"/>
              <w:jc w:val="left"/>
            </w:pPr>
            <w:r>
              <w:t xml:space="preserve">Impact</w:t>
            </w:r>
          </w:p>
        </w:tc>
        <w:tc>
          <w:tcPr/>
          <w:p>
            <w:pPr>
              <w:pStyle w:val="Compact"/>
              <w:jc w:val="left"/>
            </w:pPr>
            <w:r>
              <w:t xml:space="preserve">Mitigation Strategy</w:t>
            </w:r>
          </w:p>
        </w:tc>
      </w:tr>
      <w:tr>
        <w:tc>
          <w:tcPr/>
          <w:p>
            <w:pPr>
              <w:pStyle w:val="Compact"/>
              <w:jc w:val="left"/>
            </w:pPr>
            <w:r>
              <w:t xml:space="preserve">Network Instability</w:t>
            </w:r>
          </w:p>
        </w:tc>
        <w:tc>
          <w:tcPr/>
          <w:p>
            <w:pPr>
              <w:pStyle w:val="Compact"/>
              <w:jc w:val="left"/>
            </w:pPr>
            <w:r>
              <w:t xml:space="preserve">High</w:t>
            </w:r>
          </w:p>
        </w:tc>
        <w:tc>
          <w:tcPr/>
          <w:p>
            <w:pPr>
              <w:pStyle w:val="Compact"/>
              <w:jc w:val="left"/>
            </w:pPr>
            <w:r>
              <w:t xml:space="preserve">Implement local caching and retry mechanisms; use private networks.</w:t>
            </w:r>
          </w:p>
        </w:tc>
      </w:tr>
      <w:tr>
        <w:tc>
          <w:tcPr/>
          <w:p>
            <w:pPr>
              <w:pStyle w:val="Compact"/>
              <w:jc w:val="left"/>
            </w:pPr>
            <w:r>
              <w:t xml:space="preserve">Vendor Lock-in</w:t>
            </w:r>
          </w:p>
        </w:tc>
        <w:tc>
          <w:tcPr/>
          <w:p>
            <w:pPr>
              <w:pStyle w:val="Compact"/>
              <w:jc w:val="left"/>
            </w:pPr>
            <w:r>
              <w:t xml:space="preserve">Medium</w:t>
            </w:r>
          </w:p>
        </w:tc>
        <w:tc>
          <w:tcPr/>
          <w:p>
            <w:pPr>
              <w:pStyle w:val="Compact"/>
              <w:jc w:val="left"/>
            </w:pPr>
            <w:r>
              <w:t xml:space="preserve">Ensure DAGs are written in standard Airflow Python syntax to allow migration if necessary.</w:t>
            </w:r>
          </w:p>
        </w:tc>
      </w:tr>
      <w:tr>
        <w:tc>
          <w:tcPr/>
          <w:p>
            <w:pPr>
              <w:pStyle w:val="Compact"/>
              <w:jc w:val="left"/>
            </w:pPr>
            <w:r>
              <w:t xml:space="preserve">Cost Overrun</w:t>
            </w:r>
          </w:p>
        </w:tc>
        <w:tc>
          <w:tcPr/>
          <w:p>
            <w:pPr>
              <w:pStyle w:val="Compact"/>
              <w:jc w:val="left"/>
            </w:pPr>
            <w:r>
              <w:t xml:space="preserve">Medium</w:t>
            </w:r>
          </w:p>
        </w:tc>
        <w:tc>
          <w:tcPr/>
          <w:p>
            <w:pPr>
              <w:pStyle w:val="Compact"/>
              <w:jc w:val="left"/>
            </w:pPr>
            <w:r>
              <w:t xml:space="preserve">Monitor resource usage closely; implement cost allocation tags for Jakarta-specific workloads.</w:t>
            </w:r>
          </w:p>
        </w:tc>
      </w:tr>
    </w:tbl>
    <w:bookmarkEnd w:id="28"/>
    <w:bookmarkStart w:id="29" w:name="recommendations"/>
    <w:p>
      <w:pPr>
        <w:pStyle w:val="Heading2"/>
      </w:pPr>
      <w:r>
        <w:t xml:space="preserve">6. Recommendations</w:t>
      </w:r>
    </w:p>
    <w:p>
      <w:pPr>
        <w:pStyle w:val="FirstParagraph"/>
      </w:pPr>
      <w:r>
        <w:rPr>
          <w:bCs/>
          <w:b/>
        </w:rPr>
        <w:t xml:space="preserve">1. Localize Infrastructure:</w:t>
      </w:r>
      <w:r>
        <w:t xml:space="preserve"> </w:t>
      </w:r>
      <w:r>
        <w:t xml:space="preserve">Ensure all Astronomer components, including metadata databases and message queues, are hosted within the Jakarta region to comply with data sovereignty laws and reduce latency.</w:t>
      </w:r>
    </w:p>
    <w:p>
      <w:pPr>
        <w:pStyle w:val="BodyText"/>
      </w:pPr>
      <w:r>
        <w:rPr>
          <w:bCs/>
          <w:b/>
        </w:rPr>
        <w:t xml:space="preserve">2. Enhance Security:</w:t>
      </w:r>
      <w:r>
        <w:t xml:space="preserve"> </w:t>
      </w:r>
      <w:r>
        <w:t xml:space="preserve">Implement Role-Based Access Control (RBAC) within Astronomer to restrict access to sensitive pipelines. Integrate with existing identity providers used by the Jakarta office.</w:t>
      </w:r>
    </w:p>
    <w:p>
      <w:pPr>
        <w:pStyle w:val="BodyText"/>
      </w:pPr>
      <w:r>
        <w:rPr>
          <w:bCs/>
          <w:b/>
        </w:rPr>
        <w:t xml:space="preserve">3. Training and Support:</w:t>
      </w:r>
      <w:r>
        <w:t xml:space="preserve"> </w:t>
      </w:r>
      <w:r>
        <w:t xml:space="preserve">Invest in training for the local engineering team to maximize the benefits of Astronomer's advanced features. Establish a support channel that aligns with Jakarta business hours.</w:t>
      </w:r>
    </w:p>
    <w:p>
      <w:pPr>
        <w:pStyle w:val="BodyText"/>
      </w:pPr>
      <w:r>
        <w:rPr>
          <w:bCs/>
          <w:b/>
        </w:rPr>
        <w:t xml:space="preserve">4. Performance Testing:</w:t>
      </w:r>
      <w:r>
        <w:t xml:space="preserve"> </w:t>
      </w:r>
      <w:r>
        <w:t xml:space="preserve">Conduct load testing in the Jakarta environment before full-scale deployment to identify any bottlenecks related to local network conditions or hardware limitations.</w:t>
      </w:r>
    </w:p>
    <w:bookmarkEnd w:id="29"/>
    <w:bookmarkStart w:id="30" w:name="conclusion"/>
    <w:p>
      <w:pPr>
        <w:pStyle w:val="Heading2"/>
      </w:pPr>
      <w:r>
        <w:t xml:space="preserve">7. Conclusion</w:t>
      </w:r>
    </w:p>
    <w:p>
      <w:pPr>
        <w:pStyle w:val="FirstParagraph"/>
      </w:pPr>
      <w:r>
        <w:t xml:space="preserve">In conclusion, the peer review finds that the deployment of the</w:t>
      </w:r>
      <w:r>
        <w:t xml:space="preserve"> </w:t>
      </w:r>
      <w:r>
        <w:rPr>
          <w:bCs/>
          <w:b/>
        </w:rPr>
        <w:t xml:space="preserve">Astronomer</w:t>
      </w:r>
      <w:r>
        <w:t xml:space="preserve"> </w:t>
      </w:r>
      <w:r>
        <w:t xml:space="preserve">platform in</w:t>
      </w:r>
      <w:r>
        <w:t xml:space="preserve"> </w:t>
      </w:r>
      <w:r>
        <w:rPr>
          <w:bCs/>
          <w:b/>
        </w:rPr>
        <w:t xml:space="preserve">Indonesia Jakarta</w:t>
      </w:r>
      <w:r>
        <w:t xml:space="preserve"> </w:t>
      </w:r>
      <w:r>
        <w:t xml:space="preserve">is a strategically sound decision. The platform offers the scalability, reliability, and developer productivity required to support the organization's growing data needs. By addressing the specific challenges related to network connectivity, data sovereignty, and local operational practices, the organization can successfully leverage Astronomer to drive data-driven decision-making and operational excellence in the Jakarta market.</w:t>
      </w:r>
    </w:p>
    <w:p>
      <w:pPr>
        <w:pStyle w:val="BodyText"/>
      </w:pPr>
      <w:r>
        <w:t xml:space="preserve">The review recommends proceeding with the implementation, subject to the adoption of the mitigation strategies and recommendations outlined in this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Platform Deployment in Indonesia Jakarta</dc:title>
  <dc:creator/>
  <dc:language>en</dc:language>
  <cp:keywords/>
  <dcterms:created xsi:type="dcterms:W3CDTF">2026-10-10T02:44:58Z</dcterms:created>
  <dcterms:modified xsi:type="dcterms:W3CDTF">2026-10-10T02:44:58Z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