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Astronomer</w:t>
      </w:r>
      <w:r>
        <w:t xml:space="preserve"> </w:t>
      </w:r>
      <w:r>
        <w:t xml:space="preserve">-</w:t>
      </w:r>
      <w:r>
        <w:t xml:space="preserve"> </w:t>
      </w:r>
      <w:r>
        <w:t xml:space="preserve">Peru</w:t>
      </w:r>
      <w:r>
        <w:t xml:space="preserve"> </w:t>
      </w:r>
      <w:r>
        <w:t xml:space="preserve">Lima</w:t>
      </w:r>
    </w:p>
    <w:bookmarkStart w:id="21" w:name="peer-review-report"/>
    <w:p>
      <w:pPr>
        <w:pStyle w:val="Heading1"/>
      </w:pPr>
      <w:r>
        <w:t xml:space="preserve">Peer Review Report</w:t>
      </w:r>
    </w:p>
    <w:bookmarkStart w:id="20" w:name="subject-astronomer"/>
    <w:p>
      <w:pPr>
        <w:pStyle w:val="Heading2"/>
      </w:pPr>
      <w:r>
        <w:t xml:space="preserve">Subject: Astronomer</w:t>
      </w:r>
    </w:p>
    <w:p>
      <w:pPr>
        <w:pStyle w:val="FirstParagraph"/>
      </w:pPr>
      <w:r>
        <w:t xml:space="preserve">Location:</w:t>
      </w:r>
      <w:r>
        <w:t xml:space="preserve"> </w:t>
      </w:r>
      <w:r>
        <w:t xml:space="preserve">Peru Lima</w:t>
      </w:r>
    </w:p>
    <w:p>
      <w:pPr>
        <w:pStyle w:val="BodyText"/>
      </w:pPr>
      <w:r>
        <w:t xml:space="preserve">Date:</w:t>
      </w:r>
      <w:r>
        <w:t xml:space="preserve"> </w:t>
      </w:r>
      <w:r>
        <w:t xml:space="preserve">October 26, 2023</w:t>
      </w:r>
    </w:p>
    <w:p>
      <w:pPr>
        <w:pStyle w:val="BodyText"/>
      </w:pPr>
      <w:r>
        <w:t xml:space="preserve">Reviewer ID:</w:t>
      </w:r>
      <w:r>
        <w:t xml:space="preserve"> </w:t>
      </w:r>
      <w:r>
        <w:t xml:space="preserve">PR-2023-LIM-042</w:t>
      </w:r>
    </w:p>
    <w:p>
      <w:pPr>
        <w:pStyle w:val="BodyText"/>
      </w:pPr>
      <w:r>
        <w:t xml:space="preserve">Status:</w:t>
      </w:r>
      <w:r>
        <w:t xml:space="preserve"> </w:t>
      </w:r>
      <w:r>
        <w:t xml:space="preserve">Finalized</w:t>
      </w:r>
    </w:p>
    <w:bookmarkEnd w:id="20"/>
    <w:bookmarkEnd w:id="21"/>
    <w:bookmarkStart w:id="22" w:name="executive-summary"/>
    <w:p>
      <w:pPr>
        <w:pStyle w:val="Heading2"/>
      </w:pPr>
      <w:r>
        <w:t xml:space="preserve">1. Executive Summary</w:t>
      </w:r>
    </w:p>
    <w:p>
      <w:pPr>
        <w:pStyle w:val="FirstParagraph"/>
      </w:pPr>
      <w:r>
        <w:t xml:space="preserve">This</w:t>
      </w:r>
      <w:r>
        <w:t xml:space="preserve"> </w:t>
      </w:r>
      <w:r>
        <w:rPr>
          <w:bCs/>
          <w:b/>
        </w:rPr>
        <w:t xml:space="preserve">Peer Review Report</w:t>
      </w:r>
      <w:r>
        <w:t xml:space="preserve"> </w:t>
      </w:r>
      <w:r>
        <w:t xml:space="preserve">provides a comprehensive evaluation of the professional contributions, technical expertise, and regional impact of the subject, identified as</w:t>
      </w:r>
      <w:r>
        <w:t xml:space="preserve"> </w:t>
      </w:r>
      <w:r>
        <w:rPr>
          <w:bCs/>
          <w:b/>
        </w:rPr>
        <w:t xml:space="preserve">Astronomer</w:t>
      </w:r>
      <w:r>
        <w:t xml:space="preserve">, within the context of</w:t>
      </w:r>
      <w:r>
        <w:t xml:space="preserve"> </w:t>
      </w:r>
      <w:r>
        <w:rPr>
          <w:bCs/>
          <w:b/>
        </w:rPr>
        <w:t xml:space="preserve">Peru Lima</w:t>
      </w:r>
      <w:r>
        <w:t xml:space="preserve">. The review was conducted by a panel of senior researchers and academic peers from leading Peruvian institutions, including the National University of San Marcos and the Peruvian Astronomical Society. The primary objective of this assessment is to determine the efficacy of Astronomer's work in advancing astronomical research, fostering scientific education, and leveraging the unique geographical advantages of the Lima region for global scientific collaboration.</w:t>
      </w:r>
    </w:p>
    <w:p>
      <w:pPr>
        <w:pStyle w:val="BodyText"/>
      </w:pPr>
      <w:r>
        <w:t xml:space="preserve">The findings indicate that Astronomer has demonstrated exceptional proficiency in observational astronomy and data analysis. Furthermore, the subject has played a pivotal role in bridging the gap between local scientific communities in Lima and international research bodies, thereby enhancing the visibility of Peru as a premier destination for astronomical study.</w:t>
      </w:r>
    </w:p>
    <w:bookmarkEnd w:id="22"/>
    <w:bookmarkStart w:id="23" w:name="Xc2f739065f1a30d2bb0389f653d2c1d81a559bd"/>
    <w:p>
      <w:pPr>
        <w:pStyle w:val="Heading2"/>
      </w:pPr>
      <w:r>
        <w:t xml:space="preserve">2. Contextual Background: The Role of Astronomy in Peru Lima</w:t>
      </w:r>
    </w:p>
    <w:p>
      <w:pPr>
        <w:pStyle w:val="FirstParagraph"/>
      </w:pPr>
      <w:r>
        <w:t xml:space="preserve">To fully appreciate the significance of this</w:t>
      </w:r>
      <w:r>
        <w:t xml:space="preserve"> </w:t>
      </w:r>
      <w:r>
        <w:rPr>
          <w:bCs/>
          <w:b/>
        </w:rPr>
        <w:t xml:space="preserve">Peer Review Report</w:t>
      </w:r>
      <w:r>
        <w:t xml:space="preserve">, it is essential to understand the unique position of</w:t>
      </w:r>
      <w:r>
        <w:t xml:space="preserve"> </w:t>
      </w:r>
      <w:r>
        <w:rPr>
          <w:bCs/>
          <w:b/>
        </w:rPr>
        <w:t xml:space="preserve">Peru Lima</w:t>
      </w:r>
      <w:r>
        <w:t xml:space="preserve"> </w:t>
      </w:r>
      <w:r>
        <w:t xml:space="preserve">in the global astronomical landscape. While Lima itself is a coastal metropolis with significant light pollution, it serves as the administrative and logistical hub for some of the world's most advanced astronomical observatories located in the Peruvian highlands, such as the Cerro Tololo Inter-American Observatory (CTIO) and the Atacama Large Millimeter/submillimeter Array (ALMA) support facilities.</w:t>
      </w:r>
    </w:p>
    <w:p>
      <w:pPr>
        <w:pStyle w:val="BodyText"/>
      </w:pPr>
      <w:r>
        <w:t xml:space="preserve">The</w:t>
      </w:r>
      <w:r>
        <w:t xml:space="preserve"> </w:t>
      </w:r>
      <w:r>
        <w:rPr>
          <w:bCs/>
          <w:b/>
        </w:rPr>
        <w:t xml:space="preserve">Astronomer</w:t>
      </w:r>
      <w:r>
        <w:t xml:space="preserve"> </w:t>
      </w:r>
      <w:r>
        <w:t xml:space="preserve">under review operates within this critical nexus. Their work is not confined to a single telescope but encompasses the coordination of research efforts, the management of data pipelines, and the promotion of astronomical literacy within the Lima metropolitan area. The review panel considered how effectively Astronomer utilizes the resources available in Peru Lima to contribute to the broader scientific community.</w:t>
      </w:r>
    </w:p>
    <w:bookmarkEnd w:id="23"/>
    <w:bookmarkStart w:id="24" w:name="evaluation-criteria-and-methodology"/>
    <w:p>
      <w:pPr>
        <w:pStyle w:val="Heading2"/>
      </w:pPr>
      <w:r>
        <w:t xml:space="preserve">3. Evaluation Criteria and Methodology</w:t>
      </w:r>
    </w:p>
    <w:p>
      <w:pPr>
        <w:pStyle w:val="FirstParagraph"/>
      </w:pPr>
      <w:r>
        <w:t xml:space="preserve">This</w:t>
      </w:r>
      <w:r>
        <w:t xml:space="preserve"> </w:t>
      </w:r>
      <w:r>
        <w:rPr>
          <w:bCs/>
          <w:b/>
        </w:rPr>
        <w:t xml:space="preserve">Peer Review Report</w:t>
      </w:r>
      <w:r>
        <w:t xml:space="preserve"> </w:t>
      </w:r>
      <w:r>
        <w:t xml:space="preserve">was structured around four key criteria, each weighted according to its relevance to the role of an</w:t>
      </w:r>
      <w:r>
        <w:t xml:space="preserve"> </w:t>
      </w:r>
      <w:r>
        <w:rPr>
          <w:bCs/>
          <w:b/>
        </w:rPr>
        <w:t xml:space="preserve">Astronomer</w:t>
      </w:r>
      <w:r>
        <w:t xml:space="preserve"> </w:t>
      </w:r>
      <w:r>
        <w:t xml:space="preserve">based in</w:t>
      </w:r>
      <w:r>
        <w:t xml:space="preserve"> </w:t>
      </w:r>
      <w:r>
        <w:rPr>
          <w:bCs/>
          <w:b/>
        </w:rPr>
        <w:t xml:space="preserve">Peru Lima</w:t>
      </w:r>
      <w:r>
        <w:t xml:space="preserve">:</w:t>
      </w:r>
    </w:p>
    <w:p>
      <w:pPr>
        <w:numPr>
          <w:ilvl w:val="0"/>
          <w:numId w:val="1001"/>
        </w:numPr>
        <w:pStyle w:val="Compact"/>
      </w:pPr>
      <w:r>
        <w:rPr>
          <w:bCs/>
          <w:b/>
        </w:rPr>
        <w:t xml:space="preserve">Scientific Output and Innovation (40%):</w:t>
      </w:r>
      <w:r>
        <w:t xml:space="preserve"> </w:t>
      </w:r>
      <w:r>
        <w:t xml:space="preserve">Assessment of published papers, data contributions, and methodological advancements.</w:t>
      </w:r>
    </w:p>
    <w:p>
      <w:pPr>
        <w:numPr>
          <w:ilvl w:val="0"/>
          <w:numId w:val="1001"/>
        </w:numPr>
        <w:pStyle w:val="Compact"/>
      </w:pPr>
      <w:r>
        <w:rPr>
          <w:bCs/>
          <w:b/>
        </w:rPr>
        <w:t xml:space="preserve">Regional Collaboration and Leadership (25%):</w:t>
      </w:r>
      <w:r>
        <w:t xml:space="preserve"> </w:t>
      </w:r>
      <w:r>
        <w:t xml:space="preserve">Evaluation of partnerships with Peruvian institutions and leadership within the Lima scientific community.</w:t>
      </w:r>
    </w:p>
    <w:p>
      <w:pPr>
        <w:numPr>
          <w:ilvl w:val="0"/>
          <w:numId w:val="1001"/>
        </w:numPr>
        <w:pStyle w:val="Compact"/>
      </w:pPr>
      <w:r>
        <w:rPr>
          <w:bCs/>
          <w:b/>
        </w:rPr>
        <w:t xml:space="preserve">Public Engagement and Education (20%):</w:t>
      </w:r>
      <w:r>
        <w:t xml:space="preserve"> </w:t>
      </w:r>
      <w:r>
        <w:t xml:space="preserve">Analysis of efforts to promote astronomy among the public and students in Peru Lima.</w:t>
      </w:r>
    </w:p>
    <w:p>
      <w:pPr>
        <w:numPr>
          <w:ilvl w:val="0"/>
          <w:numId w:val="1001"/>
        </w:numPr>
        <w:pStyle w:val="Compact"/>
      </w:pPr>
      <w:r>
        <w:rPr>
          <w:bCs/>
          <w:b/>
        </w:rPr>
        <w:t xml:space="preserve">Technical Proficiency and Resource Management (15%):</w:t>
      </w:r>
      <w:r>
        <w:t xml:space="preserve"> </w:t>
      </w:r>
      <w:r>
        <w:t xml:space="preserve">Review of technical skills and the efficient use of observational and computational resources.</w:t>
      </w:r>
    </w:p>
    <w:p>
      <w:pPr>
        <w:pStyle w:val="FirstParagraph"/>
      </w:pPr>
      <w:r>
        <w:t xml:space="preserve">The methodology involved a blind review of Astronomer's publications, interviews with colleagues at the National University of San Marcos, and an analysis of community outreach programs conducted in Lima.</w:t>
      </w:r>
    </w:p>
    <w:bookmarkEnd w:id="24"/>
    <w:bookmarkStart w:id="29" w:name="detailed-findings"/>
    <w:p>
      <w:pPr>
        <w:pStyle w:val="Heading2"/>
      </w:pPr>
      <w:r>
        <w:t xml:space="preserve">4. Detailed Findings</w:t>
      </w:r>
    </w:p>
    <w:bookmarkStart w:id="25" w:name="scientific-output-and-innovation"/>
    <w:p>
      <w:pPr>
        <w:pStyle w:val="Heading3"/>
      </w:pPr>
      <w:r>
        <w:t xml:space="preserve">4.1 Scientific Output and Innovation</w:t>
      </w:r>
    </w:p>
    <w:p>
      <w:pPr>
        <w:pStyle w:val="FirstParagraph"/>
      </w:pPr>
      <w:r>
        <w:t xml:space="preserve">The</w:t>
      </w:r>
      <w:r>
        <w:t xml:space="preserve"> </w:t>
      </w:r>
      <w:r>
        <w:rPr>
          <w:bCs/>
          <w:b/>
        </w:rPr>
        <w:t xml:space="preserve">Astronomer</w:t>
      </w:r>
      <w:r>
        <w:t xml:space="preserve"> </w:t>
      </w:r>
      <w:r>
        <w:t xml:space="preserve">has produced a substantial body of work that aligns with the high standards expected in the field. Notably, their research on variable stars and exoplanet detection has been published in reputable international journals. The review panel commends Astronomer for leveraging the clear skies of the Peruvian Andes, coordinated from their base in</w:t>
      </w:r>
      <w:r>
        <w:t xml:space="preserve"> </w:t>
      </w:r>
      <w:r>
        <w:rPr>
          <w:bCs/>
          <w:b/>
        </w:rPr>
        <w:t xml:space="preserve">Peru Lima</w:t>
      </w:r>
      <w:r>
        <w:t xml:space="preserve">, to gather high-quality data. The subject's ability to integrate data from multiple observatories demonstrates a sophisticated understanding of modern astronomical techniques.</w:t>
      </w:r>
    </w:p>
    <w:bookmarkEnd w:id="25"/>
    <w:bookmarkStart w:id="26" w:name="regional-collaboration-and-leadership"/>
    <w:p>
      <w:pPr>
        <w:pStyle w:val="Heading3"/>
      </w:pPr>
      <w:r>
        <w:t xml:space="preserve">4.2 Regional Collaboration and Leadership</w:t>
      </w:r>
    </w:p>
    <w:p>
      <w:pPr>
        <w:pStyle w:val="FirstParagraph"/>
      </w:pPr>
      <w:r>
        <w:t xml:space="preserve">A standout aspect of this</w:t>
      </w:r>
      <w:r>
        <w:t xml:space="preserve"> </w:t>
      </w:r>
      <w:r>
        <w:rPr>
          <w:bCs/>
          <w:b/>
        </w:rPr>
        <w:t xml:space="preserve">Peer Review Report</w:t>
      </w:r>
      <w:r>
        <w:t xml:space="preserve"> </w:t>
      </w:r>
      <w:r>
        <w:t xml:space="preserve">is the evaluation of Astronomer's collaborative efforts. The subject has successfully established partnerships between research groups in Lima and international institutions. This has facilitated knowledge transfer and provided Peruvian researchers with access to cutting-edge technology. Astronomer's leadership in organizing regional conferences in Lima has further solidified the city's reputation as a center for astronomical discourse in South America.</w:t>
      </w:r>
    </w:p>
    <w:bookmarkEnd w:id="26"/>
    <w:bookmarkStart w:id="27" w:name="public-engagement-and-education"/>
    <w:p>
      <w:pPr>
        <w:pStyle w:val="Heading3"/>
      </w:pPr>
      <w:r>
        <w:t xml:space="preserve">4.3 Public Engagement and Education</w:t>
      </w:r>
    </w:p>
    <w:p>
      <w:pPr>
        <w:pStyle w:val="FirstParagraph"/>
      </w:pPr>
      <w:r>
        <w:t xml:space="preserve">Recognizing the importance of science communication, the</w:t>
      </w:r>
      <w:r>
        <w:t xml:space="preserve"> </w:t>
      </w:r>
      <w:r>
        <w:rPr>
          <w:bCs/>
          <w:b/>
        </w:rPr>
        <w:t xml:space="preserve">Astronomer</w:t>
      </w:r>
      <w:r>
        <w:t xml:space="preserve"> </w:t>
      </w:r>
      <w:r>
        <w:t xml:space="preserve">has actively engaged with the public in</w:t>
      </w:r>
      <w:r>
        <w:t xml:space="preserve"> </w:t>
      </w:r>
      <w:r>
        <w:rPr>
          <w:bCs/>
          <w:b/>
        </w:rPr>
        <w:t xml:space="preserve">Peru Lima</w:t>
      </w:r>
      <w:r>
        <w:t xml:space="preserve">. Initiatives such as public lectures at the Lima Planetarium and workshops in local schools have been highly effective in inspiring the next generation of scientists. The review panel notes that these efforts are crucial for fostering a culture of scientific inquiry in Peru and ensuring sustained support for astronomical research.</w:t>
      </w:r>
    </w:p>
    <w:bookmarkEnd w:id="27"/>
    <w:bookmarkStart w:id="28" w:name="X13a84df32ce75d7b168e2c6270441d775dd3a6c"/>
    <w:p>
      <w:pPr>
        <w:pStyle w:val="Heading3"/>
      </w:pPr>
      <w:r>
        <w:t xml:space="preserve">4.4 Technical Proficiency and Resource Management</w:t>
      </w:r>
    </w:p>
    <w:p>
      <w:pPr>
        <w:pStyle w:val="FirstParagraph"/>
      </w:pPr>
      <w:r>
        <w:t xml:space="preserve">The</w:t>
      </w:r>
      <w:r>
        <w:t xml:space="preserve"> </w:t>
      </w:r>
      <w:r>
        <w:rPr>
          <w:bCs/>
          <w:b/>
        </w:rPr>
        <w:t xml:space="preserve">Astronomer</w:t>
      </w:r>
      <w:r>
        <w:t xml:space="preserve"> </w:t>
      </w:r>
      <w:r>
        <w:t xml:space="preserve">exhibits strong technical skills in data analysis and computational modeling. Their efficient management of observational time and computational resources has maximized the output of research projects based in</w:t>
      </w:r>
      <w:r>
        <w:t xml:space="preserve"> </w:t>
      </w:r>
      <w:r>
        <w:rPr>
          <w:bCs/>
          <w:b/>
        </w:rPr>
        <w:t xml:space="preserve">Peru Lima</w:t>
      </w:r>
      <w:r>
        <w:t xml:space="preserve">. The subject's ability to troubleshoot technical issues and optimize data pipelines has been instrumental in the success of several collaborative projects.</w:t>
      </w:r>
    </w:p>
    <w:bookmarkEnd w:id="28"/>
    <w:bookmarkEnd w:id="29"/>
    <w:bookmarkStart w:id="30" w:name="quantitative-assessment"/>
    <w:p>
      <w:pPr>
        <w:pStyle w:val="Heading2"/>
      </w:pPr>
      <w:r>
        <w:t xml:space="preserve">5. Quantitative Assessment</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Criteria</w:t>
            </w:r>
          </w:p>
        </w:tc>
        <w:tc>
          <w:tcPr/>
          <w:p>
            <w:pPr>
              <w:pStyle w:val="Compact"/>
              <w:jc w:val="left"/>
            </w:pPr>
            <w:r>
              <w:t xml:space="preserve">Weight</w:t>
            </w:r>
          </w:p>
        </w:tc>
        <w:tc>
          <w:tcPr/>
          <w:p>
            <w:pPr>
              <w:pStyle w:val="Compact"/>
              <w:jc w:val="left"/>
            </w:pPr>
            <w:r>
              <w:t xml:space="preserve">Score (1-10)</w:t>
            </w:r>
          </w:p>
        </w:tc>
        <w:tc>
          <w:tcPr/>
          <w:p>
            <w:pPr>
              <w:pStyle w:val="Compact"/>
              <w:jc w:val="left"/>
            </w:pPr>
            <w:r>
              <w:t xml:space="preserve">Weighted Score</w:t>
            </w:r>
          </w:p>
        </w:tc>
      </w:tr>
      <w:tr>
        <w:tc>
          <w:tcPr/>
          <w:p>
            <w:pPr>
              <w:pStyle w:val="Compact"/>
              <w:jc w:val="left"/>
            </w:pPr>
            <w:r>
              <w:t xml:space="preserve">Scientific Output and Innovation</w:t>
            </w:r>
          </w:p>
        </w:tc>
        <w:tc>
          <w:tcPr/>
          <w:p>
            <w:pPr>
              <w:pStyle w:val="Compact"/>
              <w:jc w:val="left"/>
            </w:pPr>
            <w:r>
              <w:t xml:space="preserve">40%</w:t>
            </w:r>
          </w:p>
        </w:tc>
        <w:tc>
          <w:tcPr/>
          <w:p>
            <w:pPr>
              <w:pStyle w:val="Compact"/>
              <w:jc w:val="left"/>
            </w:pPr>
            <w:r>
              <w:t xml:space="preserve">9.5</w:t>
            </w:r>
          </w:p>
        </w:tc>
        <w:tc>
          <w:tcPr/>
          <w:p>
            <w:pPr>
              <w:pStyle w:val="Compact"/>
              <w:jc w:val="left"/>
            </w:pPr>
            <w:r>
              <w:t xml:space="preserve">3.8</w:t>
            </w:r>
          </w:p>
        </w:tc>
      </w:tr>
      <w:tr>
        <w:tc>
          <w:tcPr/>
          <w:p>
            <w:pPr>
              <w:pStyle w:val="Compact"/>
              <w:jc w:val="left"/>
            </w:pPr>
            <w:r>
              <w:t xml:space="preserve">Regional Collaboration and Leadership</w:t>
            </w:r>
          </w:p>
        </w:tc>
        <w:tc>
          <w:tcPr/>
          <w:p>
            <w:pPr>
              <w:pStyle w:val="Compact"/>
              <w:jc w:val="left"/>
            </w:pPr>
            <w:r>
              <w:t xml:space="preserve">25%</w:t>
            </w:r>
          </w:p>
        </w:tc>
        <w:tc>
          <w:tcPr/>
          <w:p>
            <w:pPr>
              <w:pStyle w:val="Compact"/>
              <w:jc w:val="left"/>
            </w:pPr>
            <w:r>
              <w:t xml:space="preserve">9.0</w:t>
            </w:r>
          </w:p>
        </w:tc>
        <w:tc>
          <w:tcPr/>
          <w:p>
            <w:pPr>
              <w:pStyle w:val="Compact"/>
              <w:jc w:val="left"/>
            </w:pPr>
            <w:r>
              <w:t xml:space="preserve">2.25</w:t>
            </w:r>
          </w:p>
        </w:tc>
      </w:tr>
      <w:tr>
        <w:tc>
          <w:tcPr/>
          <w:p>
            <w:pPr>
              <w:pStyle w:val="Compact"/>
              <w:jc w:val="left"/>
            </w:pPr>
            <w:r>
              <w:t xml:space="preserve">Public Engagement and Education</w:t>
            </w:r>
          </w:p>
        </w:tc>
        <w:tc>
          <w:tcPr/>
          <w:p>
            <w:pPr>
              <w:pStyle w:val="Compact"/>
              <w:jc w:val="left"/>
            </w:pPr>
            <w:r>
              <w:t xml:space="preserve">20%</w:t>
            </w:r>
          </w:p>
        </w:tc>
        <w:tc>
          <w:tcPr/>
          <w:p>
            <w:pPr>
              <w:pStyle w:val="Compact"/>
              <w:jc w:val="left"/>
            </w:pPr>
            <w:r>
              <w:t xml:space="preserve">8.5</w:t>
            </w:r>
          </w:p>
        </w:tc>
        <w:tc>
          <w:tcPr/>
          <w:p>
            <w:pPr>
              <w:pStyle w:val="Compact"/>
              <w:jc w:val="left"/>
            </w:pPr>
            <w:r>
              <w:t xml:space="preserve">1.7</w:t>
            </w:r>
          </w:p>
        </w:tc>
      </w:tr>
      <w:tr>
        <w:tc>
          <w:tcPr/>
          <w:p>
            <w:pPr>
              <w:pStyle w:val="Compact"/>
              <w:jc w:val="left"/>
            </w:pPr>
            <w:r>
              <w:t xml:space="preserve">Technical Proficiency and Resource Management</w:t>
            </w:r>
          </w:p>
        </w:tc>
        <w:tc>
          <w:tcPr/>
          <w:p>
            <w:pPr>
              <w:pStyle w:val="Compact"/>
              <w:jc w:val="left"/>
            </w:pPr>
            <w:r>
              <w:t xml:space="preserve">15%</w:t>
            </w:r>
          </w:p>
        </w:tc>
        <w:tc>
          <w:tcPr/>
          <w:p>
            <w:pPr>
              <w:pStyle w:val="Compact"/>
              <w:jc w:val="left"/>
            </w:pPr>
            <w:r>
              <w:t xml:space="preserve">9.0</w:t>
            </w:r>
          </w:p>
        </w:tc>
        <w:tc>
          <w:tcPr/>
          <w:p>
            <w:pPr>
              <w:pStyle w:val="Compact"/>
              <w:jc w:val="left"/>
            </w:pPr>
            <w:r>
              <w:t xml:space="preserve">1.35</w:t>
            </w:r>
          </w:p>
        </w:tc>
      </w:tr>
      <w:tr>
        <w:tc>
          <w:tcPr/>
          <w:p>
            <w:pPr>
              <w:pStyle w:val="Compact"/>
              <w:jc w:val="left"/>
            </w:pPr>
            <w:r>
              <w:rPr>
                <w:bCs/>
                <w:b/>
              </w:rPr>
              <w:t xml:space="preserve">Total</w:t>
            </w:r>
          </w:p>
        </w:tc>
        <w:tc>
          <w:tcPr/>
          <w:p>
            <w:pPr>
              <w:pStyle w:val="Compact"/>
              <w:jc w:val="left"/>
            </w:pPr>
            <w:r>
              <w:rPr>
                <w:bCs/>
                <w:b/>
              </w:rPr>
              <w:t xml:space="preserve">100%</w:t>
            </w:r>
          </w:p>
        </w:tc>
        <w:tc>
          <w:tcPr/>
          <w:p>
            <w:pPr>
              <w:pStyle w:val="Compact"/>
            </w:pPr>
          </w:p>
        </w:tc>
        <w:tc>
          <w:tcPr/>
          <w:p>
            <w:pPr>
              <w:pStyle w:val="Compact"/>
              <w:jc w:val="left"/>
            </w:pPr>
            <w:r>
              <w:rPr>
                <w:bCs/>
                <w:b/>
              </w:rPr>
              <w:t xml:space="preserve">9.1</w:t>
            </w:r>
          </w:p>
        </w:tc>
      </w:tr>
    </w:tbl>
    <w:bookmarkEnd w:id="30"/>
    <w:bookmarkStart w:id="31" w:name="recommendations"/>
    <w:p>
      <w:pPr>
        <w:pStyle w:val="Heading2"/>
      </w:pPr>
      <w:r>
        <w:t xml:space="preserve">6. Recommendations</w:t>
      </w:r>
    </w:p>
    <w:p>
      <w:pPr>
        <w:pStyle w:val="FirstParagraph"/>
      </w:pPr>
      <w:r>
        <w:t xml:space="preserve">Based on the findings of this</w:t>
      </w:r>
      <w:r>
        <w:t xml:space="preserve"> </w:t>
      </w:r>
      <w:r>
        <w:rPr>
          <w:bCs/>
          <w:b/>
        </w:rPr>
        <w:t xml:space="preserve">Peer Review Report</w:t>
      </w:r>
      <w:r>
        <w:t xml:space="preserve">, the panel recommends the following actions to further enhance the impact of</w:t>
      </w:r>
      <w:r>
        <w:t xml:space="preserve"> </w:t>
      </w:r>
      <w:r>
        <w:rPr>
          <w:bCs/>
          <w:b/>
        </w:rPr>
        <w:t xml:space="preserve">Astronomer</w:t>
      </w:r>
      <w:r>
        <w:t xml:space="preserve"> </w:t>
      </w:r>
      <w:r>
        <w:t xml:space="preserve">in</w:t>
      </w:r>
      <w:r>
        <w:t xml:space="preserve"> </w:t>
      </w:r>
      <w:r>
        <w:rPr>
          <w:bCs/>
          <w:b/>
        </w:rPr>
        <w:t xml:space="preserve">Peru Lima</w:t>
      </w:r>
      <w:r>
        <w:t xml:space="preserve">:</w:t>
      </w:r>
    </w:p>
    <w:p>
      <w:pPr>
        <w:numPr>
          <w:ilvl w:val="0"/>
          <w:numId w:val="1002"/>
        </w:numPr>
        <w:pStyle w:val="Compact"/>
      </w:pPr>
      <w:r>
        <w:rPr>
          <w:bCs/>
          <w:b/>
        </w:rPr>
        <w:t xml:space="preserve">Expand Educational Initiatives:</w:t>
      </w:r>
      <w:r>
        <w:t xml:space="preserve"> </w:t>
      </w:r>
      <w:r>
        <w:t xml:space="preserve">Increase the scope of public outreach programs to include more schools in underserved areas of Lima, ensuring broader access to astronomical education.</w:t>
      </w:r>
    </w:p>
    <w:p>
      <w:pPr>
        <w:numPr>
          <w:ilvl w:val="0"/>
          <w:numId w:val="1002"/>
        </w:numPr>
        <w:pStyle w:val="Compact"/>
      </w:pPr>
      <w:r>
        <w:rPr>
          <w:bCs/>
          <w:b/>
        </w:rPr>
        <w:t xml:space="preserve">Strengthen International Partnerships:</w:t>
      </w:r>
      <w:r>
        <w:t xml:space="preserve"> </w:t>
      </w:r>
      <w:r>
        <w:t xml:space="preserve">Continue to build on existing collaborations by seeking new partnerships with global research institutions, focusing on emerging areas such as multi-messenger astronomy.</w:t>
      </w:r>
    </w:p>
    <w:p>
      <w:pPr>
        <w:numPr>
          <w:ilvl w:val="0"/>
          <w:numId w:val="1002"/>
        </w:numPr>
        <w:pStyle w:val="Compact"/>
      </w:pPr>
      <w:r>
        <w:rPr>
          <w:bCs/>
          <w:b/>
        </w:rPr>
        <w:t xml:space="preserve">Enhance Data Sharing:</w:t>
      </w:r>
      <w:r>
        <w:t xml:space="preserve"> </w:t>
      </w:r>
      <w:r>
        <w:t xml:space="preserve">Promote open data practices to make research conducted from Peru Lima more accessible to the global scientific community, thereby increasing the visibility and impact of local research.</w:t>
      </w:r>
    </w:p>
    <w:p>
      <w:pPr>
        <w:numPr>
          <w:ilvl w:val="0"/>
          <w:numId w:val="1002"/>
        </w:numPr>
        <w:pStyle w:val="Compact"/>
      </w:pPr>
      <w:r>
        <w:rPr>
          <w:bCs/>
          <w:b/>
        </w:rPr>
        <w:t xml:space="preserve">Mentorship Programs:</w:t>
      </w:r>
      <w:r>
        <w:t xml:space="preserve"> </w:t>
      </w:r>
      <w:r>
        <w:t xml:space="preserve">Establish formal mentorship programs to support early-career astronomers in Peru, fostering a sustainable pipeline of talent in the field.</w:t>
      </w:r>
    </w:p>
    <w:bookmarkEnd w:id="31"/>
    <w:bookmarkStart w:id="32" w:name="conclusion"/>
    <w:p>
      <w:pPr>
        <w:pStyle w:val="Heading2"/>
      </w:pPr>
      <w:r>
        <w:t xml:space="preserve">7. Conclusion</w:t>
      </w:r>
    </w:p>
    <w:p>
      <w:pPr>
        <w:pStyle w:val="FirstParagraph"/>
      </w:pPr>
      <w:r>
        <w:t xml:space="preserve">In conclusion, this</w:t>
      </w:r>
      <w:r>
        <w:t xml:space="preserve"> </w:t>
      </w:r>
      <w:r>
        <w:rPr>
          <w:bCs/>
          <w:b/>
        </w:rPr>
        <w:t xml:space="preserve">Peer Review Report</w:t>
      </w:r>
      <w:r>
        <w:t xml:space="preserve"> </w:t>
      </w:r>
      <w:r>
        <w:t xml:space="preserve">affirms that</w:t>
      </w:r>
      <w:r>
        <w:t xml:space="preserve"> </w:t>
      </w:r>
      <w:r>
        <w:rPr>
          <w:bCs/>
          <w:b/>
        </w:rPr>
        <w:t xml:space="preserve">Astronomer</w:t>
      </w:r>
      <w:r>
        <w:t xml:space="preserve"> </w:t>
      </w:r>
      <w:r>
        <w:t xml:space="preserve">is a highly competent and dedicated professional who has made significant contributions to the field of astronomy. Their work in</w:t>
      </w:r>
      <w:r>
        <w:t xml:space="preserve"> </w:t>
      </w:r>
      <w:r>
        <w:rPr>
          <w:bCs/>
          <w:b/>
        </w:rPr>
        <w:t xml:space="preserve">Peru Lima</w:t>
      </w:r>
      <w:r>
        <w:t xml:space="preserve"> </w:t>
      </w:r>
      <w:r>
        <w:t xml:space="preserve">has not only advanced scientific knowledge but also strengthened the regional scientific community and promoted public engagement with science. The panel is confident that Astronomer will continue to be a valuable asset to the astronomical community in Peru and beyond.</w:t>
      </w:r>
    </w:p>
    <w:bookmarkEnd w:id="32"/>
    <w:p>
      <w:pPr>
        <w:pStyle w:val="BodyText"/>
      </w:pPr>
      <w:r>
        <w:t xml:space="preserve">This document is a formal Peer Review Report prepared for internal and academic use. All information contained herein is confidential and intended solely for the evaluation of the subject, Astronomer, within the context of Peru Lima.</w:t>
      </w:r>
    </w:p>
    <w:p>
      <w:pPr>
        <w:pStyle w:val="BodyText"/>
      </w:pPr>
      <w:r>
        <w:t xml:space="preserve">© 2023 Peer Review Committee.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Astronomer - Peru Lima</dc:title>
  <dc:creator/>
  <dc:language>en</dc:language>
  <cp:keywords/>
  <dcterms:created xsi:type="dcterms:W3CDTF">2026-10-10T02:42:00Z</dcterms:created>
  <dcterms:modified xsi:type="dcterms:W3CDTF">2026-10-10T02:42:00Z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