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p>
    <w:bookmarkStart w:id="20" w:name="Xe1dfa1c6749e14681a1c1be8e1cca65bbcd2a7a"/>
    <w:p>
      <w:pPr>
        <w:pStyle w:val="Heading1"/>
      </w:pPr>
      <w:r>
        <w:t xml:space="preserve">Peer Review Report: Auditor Performance Evaluation</w:t>
      </w:r>
    </w:p>
    <w:p>
      <w:pPr>
        <w:pStyle w:val="FirstParagraph"/>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ethical adherence of the Auditor assigned to operations within Kabul, Afghanistan. The purpose of this review is to ensure that audit activities align with international auditing standards while addressing the unique operational, cultural, and regulatory challenges present in the current Afghan context. The review focuses on the Auditor’s ability to maintain objectivity, accuracy, and diligence in a complex environment characterized by evolving governance structures and economic constraints.</w:t>
      </w:r>
    </w:p>
    <w:p>
      <w:pPr>
        <w:pStyle w:val="BodyText"/>
      </w:pPr>
      <w:r>
        <w:t xml:space="preserve">Overall, the Auditor has demonstrated a strong commitment to professional integrity and technical excellence. However, this report identifies areas for improvement regarding risk assessment methodologies and stakeholder communication, which are critical for effective auditing in Kabul’s dynamic landscape.</w:t>
      </w:r>
    </w:p>
    <w:bookmarkEnd w:id="21"/>
    <w:bookmarkStart w:id="22" w:name="X9b1aebab3814e878f8888ae723ff0954e531986"/>
    <w:p>
      <w:pPr>
        <w:pStyle w:val="Heading2"/>
      </w:pPr>
      <w:r>
        <w:t xml:space="preserve">2. Contextual Background: Auditing in Afghanistan Kabul</w:t>
      </w:r>
    </w:p>
    <w:p>
      <w:pPr>
        <w:pStyle w:val="FirstParagraph"/>
      </w:pPr>
      <w:r>
        <w:t xml:space="preserve">Conducting audit operations in Kabul, Afghanistan, requires a nuanced understanding of local regulations, cultural norms, and security considerations. The Auditor is expected to navigate a challenging environment where financial transparency is paramount yet often hindered by systemic issues. This Peer Review Report assesses how effectively the Auditor has adapted standard auditing practices to the realities of Afghanistan’s current socio-political and economic climate.</w:t>
      </w:r>
    </w:p>
    <w:p>
      <w:pPr>
        <w:pStyle w:val="BodyText"/>
      </w:pPr>
      <w:r>
        <w:t xml:space="preserve">Key contextual factors influencing this review include:</w:t>
      </w:r>
    </w:p>
    <w:p>
      <w:pPr>
        <w:numPr>
          <w:ilvl w:val="0"/>
          <w:numId w:val="1001"/>
        </w:numPr>
        <w:pStyle w:val="Compact"/>
      </w:pPr>
      <w:r>
        <w:t xml:space="preserve">Compliance with both international standards (e.g., ISA) and local Afghan financial regulations.</w:t>
      </w:r>
    </w:p>
    <w:p>
      <w:pPr>
        <w:numPr>
          <w:ilvl w:val="0"/>
          <w:numId w:val="1001"/>
        </w:numPr>
        <w:pStyle w:val="Compact"/>
      </w:pPr>
      <w:r>
        <w:t xml:space="preserve">Ability to operate effectively under resource constraints and infrastructure limitations.</w:t>
      </w:r>
    </w:p>
    <w:p>
      <w:pPr>
        <w:numPr>
          <w:ilvl w:val="0"/>
          <w:numId w:val="1001"/>
        </w:numPr>
        <w:pStyle w:val="Compact"/>
      </w:pPr>
      <w:r>
        <w:t xml:space="preserve">Sensitivity to cultural dynamics and stakeholder expectations in Kabul.</w:t>
      </w:r>
    </w:p>
    <w:p>
      <w:pPr>
        <w:numPr>
          <w:ilvl w:val="0"/>
          <w:numId w:val="1001"/>
        </w:numPr>
        <w:pStyle w:val="Compact"/>
      </w:pPr>
      <w:r>
        <w:t xml:space="preserve">Maintenance of independence and objectivity in a high-risk environment.</w:t>
      </w:r>
    </w:p>
    <w:bookmarkEnd w:id="22"/>
    <w:bookmarkStart w:id="23" w:name="evaluation-criteria"/>
    <w:p>
      <w:pPr>
        <w:pStyle w:val="Heading2"/>
      </w:pPr>
      <w:r>
        <w:t xml:space="preserve">3. Evaluation Criteria</w:t>
      </w:r>
    </w:p>
    <w:p>
      <w:pPr>
        <w:pStyle w:val="FirstParagraph"/>
      </w:pPr>
      <w:r>
        <w:t xml:space="preserve">The Auditor’s performance has been assessed against the following criteria:</w:t>
      </w:r>
    </w:p>
    <w:p>
      <w:pPr>
        <w:numPr>
          <w:ilvl w:val="0"/>
          <w:numId w:val="1002"/>
        </w:numPr>
        <w:pStyle w:val="Compact"/>
      </w:pPr>
      <w:r>
        <w:rPr>
          <w:bCs/>
          <w:b/>
        </w:rPr>
        <w:t xml:space="preserve">Technical Competence:</w:t>
      </w:r>
      <w:r>
        <w:t xml:space="preserve"> </w:t>
      </w:r>
      <w:r>
        <w:t xml:space="preserve">Proficiency in applying auditing standards, financial analysis, and risk assessment techniques.</w:t>
      </w:r>
    </w:p>
    <w:p>
      <w:pPr>
        <w:numPr>
          <w:ilvl w:val="0"/>
          <w:numId w:val="1002"/>
        </w:numPr>
        <w:pStyle w:val="Compact"/>
      </w:pPr>
      <w:r>
        <w:rPr>
          <w:bCs/>
          <w:b/>
        </w:rPr>
        <w:t xml:space="preserve">Professional Ethics:</w:t>
      </w:r>
      <w:r>
        <w:t xml:space="preserve"> </w:t>
      </w:r>
      <w:r>
        <w:t xml:space="preserve">Adherence to integrity, objectivity, confidentiality, and professional behavior.</w:t>
      </w:r>
    </w:p>
    <w:p>
      <w:pPr>
        <w:numPr>
          <w:ilvl w:val="0"/>
          <w:numId w:val="1002"/>
        </w:numPr>
        <w:pStyle w:val="Compact"/>
      </w:pPr>
      <w:r>
        <w:rPr>
          <w:bCs/>
          <w:b/>
        </w:rPr>
        <w:t xml:space="preserve">Operational Effectiveness:</w:t>
      </w:r>
      <w:r>
        <w:t xml:space="preserve"> </w:t>
      </w:r>
      <w:r>
        <w:t xml:space="preserve">Efficiency in planning, executing, and reporting audit findings within the Kabul context.</w:t>
      </w:r>
    </w:p>
    <w:p>
      <w:pPr>
        <w:numPr>
          <w:ilvl w:val="0"/>
          <w:numId w:val="1002"/>
        </w:numPr>
        <w:pStyle w:val="Compact"/>
      </w:pPr>
      <w:r>
        <w:rPr>
          <w:bCs/>
          <w:b/>
        </w:rPr>
        <w:t xml:space="preserve">Adaptability:</w:t>
      </w:r>
      <w:r>
        <w:t xml:space="preserve"> </w:t>
      </w:r>
      <w:r>
        <w:t xml:space="preserve">Ability to respond to changing conditions, including regulatory updates and security considerations.</w:t>
      </w:r>
    </w:p>
    <w:p>
      <w:pPr>
        <w:numPr>
          <w:ilvl w:val="0"/>
          <w:numId w:val="1002"/>
        </w:numPr>
        <w:pStyle w:val="Compact"/>
      </w:pPr>
      <w:r>
        <w:rPr>
          <w:bCs/>
          <w:b/>
        </w:rPr>
        <w:t xml:space="preserve">Communication:</w:t>
      </w:r>
      <w:r>
        <w:t xml:space="preserve"> </w:t>
      </w:r>
      <w:r>
        <w:t xml:space="preserve">Clarity and professionalism in interactions with clients, team members, and stakeholders.</w:t>
      </w:r>
    </w:p>
    <w:bookmarkEnd w:id="23"/>
    <w:bookmarkStart w:id="29" w:name="detailed-findings"/>
    <w:p>
      <w:pPr>
        <w:pStyle w:val="Heading2"/>
      </w:pPr>
      <w:r>
        <w:t xml:space="preserve">4. Detailed Findings</w:t>
      </w:r>
    </w:p>
    <w:bookmarkStart w:id="24" w:name="technical-competence"/>
    <w:p>
      <w:pPr>
        <w:pStyle w:val="Heading3"/>
      </w:pPr>
      <w:r>
        <w:t xml:space="preserve">4.1 Technical Competence</w:t>
      </w:r>
    </w:p>
    <w:p>
      <w:pPr>
        <w:pStyle w:val="FirstParagraph"/>
      </w:pPr>
      <w:r>
        <w:t xml:space="preserve">The Auditor has demonstrated a solid grasp of international auditing standards and has successfully applied them to engagements in Kabul. Financial statements reviewed by the Auditor show a high level of accuracy, and audit procedures were appropriately designed to address identified risks. However, there is room for improvement in leveraging advanced data analytics tools, which could enhance the depth and efficiency of audits in Afghanistan’s increasingly digital financial landscape.</w:t>
      </w:r>
    </w:p>
    <w:bookmarkEnd w:id="24"/>
    <w:bookmarkStart w:id="25" w:name="professional-ethics"/>
    <w:p>
      <w:pPr>
        <w:pStyle w:val="Heading3"/>
      </w:pPr>
      <w:r>
        <w:t xml:space="preserve">4.2 Professional Ethics</w:t>
      </w:r>
    </w:p>
    <w:p>
      <w:pPr>
        <w:pStyle w:val="FirstParagraph"/>
      </w:pPr>
      <w:r>
        <w:t xml:space="preserve">The Auditor has consistently upheld the highest ethical standards, maintaining independence and objectivity despite external pressures. Confidentiality has been rigorously maintained, and there have been no reported conflicts of interest. This is particularly commendable given the sensitive nature of many engagements in Kabul, where trust and integrity are critical.</w:t>
      </w:r>
    </w:p>
    <w:bookmarkEnd w:id="25"/>
    <w:bookmarkStart w:id="26" w:name="operational-effectiveness"/>
    <w:p>
      <w:pPr>
        <w:pStyle w:val="Heading3"/>
      </w:pPr>
      <w:r>
        <w:t xml:space="preserve">4.3 Operational Effectiveness</w:t>
      </w:r>
    </w:p>
    <w:p>
      <w:pPr>
        <w:pStyle w:val="FirstParagraph"/>
      </w:pPr>
      <w:r>
        <w:t xml:space="preserve">Audit planning and execution have been generally efficient, with timely completion of most engagements. The Auditor has shown resilience in overcoming logistical challenges common in Afghanistan, such as limited access to records or infrastructure disruptions. However, some delays were noted in finalizing reports due to overly cautious risk assessments, which occasionally slowed down the audit process without adding proportional value.</w:t>
      </w:r>
    </w:p>
    <w:bookmarkEnd w:id="26"/>
    <w:bookmarkStart w:id="27" w:name="adaptability"/>
    <w:p>
      <w:pPr>
        <w:pStyle w:val="Heading3"/>
      </w:pPr>
      <w:r>
        <w:t xml:space="preserve">4.4 Adaptability</w:t>
      </w:r>
    </w:p>
    <w:p>
      <w:pPr>
        <w:pStyle w:val="FirstParagraph"/>
      </w:pPr>
      <w:r>
        <w:t xml:space="preserve">The Auditor has shown a commendable ability to adapt to the evolving regulatory and security environment in Kabul. Adjustments to audit procedures in response to new local guidelines were implemented promptly. Nevertheless, greater proactivity in anticipating regulatory changes and their impact on audit strategies is recommended.</w:t>
      </w:r>
    </w:p>
    <w:bookmarkEnd w:id="27"/>
    <w:bookmarkStart w:id="28" w:name="communication"/>
    <w:p>
      <w:pPr>
        <w:pStyle w:val="Heading3"/>
      </w:pPr>
      <w:r>
        <w:t xml:space="preserve">4.5 Communication</w:t>
      </w:r>
    </w:p>
    <w:p>
      <w:pPr>
        <w:pStyle w:val="FirstParagraph"/>
      </w:pPr>
      <w:r>
        <w:t xml:space="preserve">Communication with clients and team members has been professional and clear. Audit findings were presented in a structured and understandable manner. However, there is an opportunity to enhance stakeholder engagement by providing more contextual explanations of audit recommendations, particularly for local entities in Afghanistan that may require additional guidance on compliance and best practices.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support the Auditor’s continued professional development and effectiveness in Kabul, Afghanistan:</w:t>
      </w:r>
    </w:p>
    <w:p>
      <w:pPr>
        <w:numPr>
          <w:ilvl w:val="0"/>
          <w:numId w:val="1003"/>
        </w:numPr>
        <w:pStyle w:val="Compact"/>
      </w:pPr>
      <w:r>
        <w:rPr>
          <w:bCs/>
          <w:b/>
        </w:rPr>
        <w:t xml:space="preserve">Enhance Data Analytics Skills:</w:t>
      </w:r>
      <w:r>
        <w:t xml:space="preserve"> </w:t>
      </w:r>
      <w:r>
        <w:t xml:space="preserve">Invest in training and tools to improve the use of data analytics in audit procedures.</w:t>
      </w:r>
    </w:p>
    <w:p>
      <w:pPr>
        <w:numPr>
          <w:ilvl w:val="0"/>
          <w:numId w:val="1003"/>
        </w:numPr>
        <w:pStyle w:val="Compact"/>
      </w:pPr>
      <w:r>
        <w:rPr>
          <w:bCs/>
          <w:b/>
        </w:rPr>
        <w:t xml:space="preserve">Streamline Risk Assessment:</w:t>
      </w:r>
      <w:r>
        <w:t xml:space="preserve"> </w:t>
      </w:r>
      <w:r>
        <w:t xml:space="preserve">Refine risk assessment methodologies to balance thoroughness with efficiency, reducing unnecessary delays.</w:t>
      </w:r>
    </w:p>
    <w:p>
      <w:pPr>
        <w:numPr>
          <w:ilvl w:val="0"/>
          <w:numId w:val="1003"/>
        </w:numPr>
        <w:pStyle w:val="Compact"/>
      </w:pPr>
      <w:r>
        <w:rPr>
          <w:bCs/>
          <w:b/>
        </w:rPr>
        <w:t xml:space="preserve">Strengthen Stakeholder Communication:</w:t>
      </w:r>
      <w:r>
        <w:t xml:space="preserve"> </w:t>
      </w:r>
      <w:r>
        <w:t xml:space="preserve">Provide more detailed, context-specific explanations of audit findings to enhance understanding and compliance among local stakeholders.</w:t>
      </w:r>
    </w:p>
    <w:p>
      <w:pPr>
        <w:numPr>
          <w:ilvl w:val="0"/>
          <w:numId w:val="1003"/>
        </w:numPr>
        <w:pStyle w:val="Compact"/>
      </w:pPr>
      <w:r>
        <w:rPr>
          <w:bCs/>
          <w:b/>
        </w:rPr>
        <w:t xml:space="preserve">Proactive Regulatory Monitoring:</w:t>
      </w:r>
      <w:r>
        <w:t xml:space="preserve"> </w:t>
      </w:r>
      <w:r>
        <w:t xml:space="preserve">Establish a systematic approach to monitoring and responding to regulatory changes in Afghanistan.</w:t>
      </w:r>
    </w:p>
    <w:bookmarkEnd w:id="30"/>
    <w:bookmarkStart w:id="31" w:name="conclusion"/>
    <w:p>
      <w:pPr>
        <w:pStyle w:val="Heading2"/>
      </w:pPr>
      <w:r>
        <w:t xml:space="preserve">6. Conclusion</w:t>
      </w:r>
    </w:p>
    <w:p>
      <w:pPr>
        <w:pStyle w:val="FirstParagraph"/>
      </w:pPr>
      <w:r>
        <w:t xml:space="preserve">This Peer Review Report confirms that the Auditor has performed at a high professional level, demonstrating technical competence, ethical integrity, and adaptability in the challenging environment of Kabul, Afghanistan. While there are areas for improvement, particularly in operational efficiency and stakeholder communication, the Auditor’s overall performance is satisfactory and aligns with the expectations of a professional auditing practice in this region. Continued focus on the recommended areas will further enhance the quality and impact of audit services provided in Afghanistan.</w:t>
      </w:r>
    </w:p>
    <w:bookmarkEnd w:id="31"/>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Audit Manager</w:t>
      </w:r>
    </w:p>
    <w:p>
      <w:pPr>
        <w:pStyle w:val="BodyText"/>
      </w:pPr>
      <w:r>
        <w:rPr>
          <w:bCs/>
          <w:b/>
        </w:rPr>
        <w:t xml:space="preserve">Organization:</w:t>
      </w:r>
      <w:r>
        <w:t xml:space="preserve"> </w:t>
      </w:r>
      <w:r>
        <w:t xml:space="preserve">[Audit Firm Name]</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