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Quality</w:t>
      </w:r>
      <w:r>
        <w:t xml:space="preserve"> </w:t>
      </w:r>
      <w:r>
        <w:t xml:space="preserve">Assurance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Quality Assurance Review of Audit Practices</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competence and quality of work performed by the Auditor under review. The review is conducted in strict accordance with the Australian Auditing Standards (ASA) and the guidelines set forth by the Chartered Accountants Australia and New Zealand (CA ANZ) and the Institute of Public Accountants. Given the specific regulatory environment of Australia Brisbane, this report places particular emphasis on compliance with local Queensland legislation and the Australian Securities and Investments Commission (ASIC) requirements.</w:t>
      </w:r>
    </w:p>
    <w:p>
      <w:pPr>
        <w:pStyle w:val="BodyText"/>
      </w:pPr>
      <w:r>
        <w:t xml:space="preserve">The primary objective of this peer review is to provide an independent assessment of the Auditor's adherence to professional standards, ethical requirements, and technical proficiency. The scope of this review encompasses the examination of a sample of audit files, the evaluation of risk assessment procedures, and the verification of the Auditor's internal quality control systems. This process is vital for maintaining public trust in the financial reporting framework within the Brisbane business community.</w:t>
      </w:r>
    </w:p>
    <w:bookmarkEnd w:id="21"/>
    <w:bookmarkStart w:id="22" w:name="regulatory-framework-and-context"/>
    <w:p>
      <w:pPr>
        <w:pStyle w:val="Heading2"/>
      </w:pPr>
      <w:r>
        <w:t xml:space="preserve">2. Regulatory Framework and Context</w:t>
      </w:r>
    </w:p>
    <w:p>
      <w:pPr>
        <w:pStyle w:val="FirstParagraph"/>
      </w:pPr>
      <w:r>
        <w:t xml:space="preserve">Operating as an Auditor in Australia Brisbane requires a nuanced understanding of both federal and state-level regulations. The review considered the Auditor's compliance with the Corporations Act 2001, which governs the conduct of audits for public companies and large proprietary companies. Furthermore, the review assessed the Auditor's familiarity with the specific economic landscape of Brisbane, including sectors such as construction, mining, and professional services, which are prevalent in the region.</w:t>
      </w:r>
    </w:p>
    <w:p>
      <w:pPr>
        <w:pStyle w:val="BodyText"/>
      </w:pPr>
      <w:r>
        <w:t xml:space="preserve">The Auditor was evaluated on their ability to navigate the complex requirements of the Australian Accounting Standards Board (AASB). The review specifically looked at how the Auditor applied these standards to entities operating within the Brisbane metropolitan area, ensuring that financial statements present a true and fair view of the financial position and performance of the entities audited.</w:t>
      </w:r>
    </w:p>
    <w:bookmarkEnd w:id="22"/>
    <w:bookmarkStart w:id="23" w:name="methodology-of-the-peer-review"/>
    <w:p>
      <w:pPr>
        <w:pStyle w:val="Heading2"/>
      </w:pPr>
      <w:r>
        <w:t xml:space="preserve">3. Methodology of the Peer Review</w:t>
      </w:r>
    </w:p>
    <w:p>
      <w:pPr>
        <w:pStyle w:val="FirstParagraph"/>
      </w:pPr>
      <w:r>
        <w:t xml:space="preserve">The methodology employed for this Peer Review Report involved a comprehensive analysis of audit documentation. A stratified random sample of audit files was selected, representing various industries and entity sizes typical of the Australia Brisbane market. The review team examined the planning memoranda, risk assessment matrices, substantive testing workpapers, and final audit reports.</w:t>
      </w:r>
    </w:p>
    <w:p>
      <w:pPr>
        <w:pStyle w:val="BodyText"/>
      </w:pPr>
      <w:r>
        <w:t xml:space="preserve">Additionally, interviews were conducted with the Auditor and key members of their audit team to assess their understanding of professional ethics, particularly regarding independence and objectivity. The review also included an evaluation of the Auditor's continuing professional development (CPD) records to ensure they remain current with evolving auditing standards and regulatory changes in Australia.</w:t>
      </w:r>
    </w:p>
    <w:bookmarkEnd w:id="23"/>
    <w:bookmarkStart w:id="27" w:name="findings-and-observations"/>
    <w:p>
      <w:pPr>
        <w:pStyle w:val="Heading2"/>
      </w:pPr>
      <w:r>
        <w:t xml:space="preserve">4. Findings and Observations</w:t>
      </w:r>
    </w:p>
    <w:bookmarkStart w:id="24" w:name="compliance-with-auditing-standards"/>
    <w:p>
      <w:pPr>
        <w:pStyle w:val="Heading3"/>
      </w:pPr>
      <w:r>
        <w:t xml:space="preserve">4.1 Compliance with Auditing Standards</w:t>
      </w:r>
    </w:p>
    <w:p>
      <w:pPr>
        <w:pStyle w:val="FirstParagraph"/>
      </w:pPr>
      <w:r>
        <w:t xml:space="preserve">The Auditor demonstrated a strong commitment to compliance with the Australian Auditing Standards. The review found that the planning phases of the audits were thorough, with appropriate identification of significant risks. The Auditor effectively utilized professional skepticism, a critical trait for any Auditor operating in the dynamic financial environment of Australia Brisbane.</w:t>
      </w:r>
    </w:p>
    <w:bookmarkEnd w:id="24"/>
    <w:bookmarkStart w:id="25" w:name="quality-of-documentation"/>
    <w:p>
      <w:pPr>
        <w:pStyle w:val="Heading3"/>
      </w:pPr>
      <w:r>
        <w:t xml:space="preserve">4.2 Quality of Documentation</w:t>
      </w:r>
    </w:p>
    <w:p>
      <w:pPr>
        <w:pStyle w:val="FirstParagraph"/>
      </w:pPr>
      <w:r>
        <w:t xml:space="preserve">Audit documentation was generally well-organized and provided sufficient evidence to support the audit opinions issued. However, the review noted minor areas for improvement in the clarity of certain working papers. Enhancing the documentation process will further strengthen the defensibility of the Auditor's work in the event of regulatory inquiries by ASIC or other oversight bodies.</w:t>
      </w:r>
    </w:p>
    <w:bookmarkEnd w:id="25"/>
    <w:bookmarkStart w:id="26" w:name="ethical-considerations"/>
    <w:p>
      <w:pPr>
        <w:pStyle w:val="Heading3"/>
      </w:pPr>
      <w:r>
        <w:t xml:space="preserve">4.3 Ethical Considerations</w:t>
      </w:r>
    </w:p>
    <w:p>
      <w:pPr>
        <w:pStyle w:val="FirstParagraph"/>
      </w:pPr>
      <w:r>
        <w:t xml:space="preserve">The Auditor maintained high ethical standards throughout the reviewed engagements. There were no instances of conflicts of interest or breaches of independence. The Auditor's adherence to the Code of Professional Conduct is commendable and aligns with the expectations of the accounting profession in Australia.</w:t>
      </w:r>
    </w:p>
    <w:bookmarkEnd w:id="26"/>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made to enhance the Auditor's practice:</w:t>
      </w:r>
    </w:p>
    <w:p>
      <w:pPr>
        <w:numPr>
          <w:ilvl w:val="0"/>
          <w:numId w:val="1001"/>
        </w:numPr>
        <w:pStyle w:val="Compact"/>
      </w:pPr>
      <w:r>
        <w:rPr>
          <w:bCs/>
          <w:b/>
        </w:rPr>
        <w:t xml:space="preserve">Enhanced Documentation Training:</w:t>
      </w:r>
      <w:r>
        <w:t xml:space="preserve"> </w:t>
      </w:r>
      <w:r>
        <w:t xml:space="preserve">Implement additional training for audit staff on best practices for documentation to ensure consistency and clarity across all files.</w:t>
      </w:r>
    </w:p>
    <w:p>
      <w:pPr>
        <w:numPr>
          <w:ilvl w:val="0"/>
          <w:numId w:val="1001"/>
        </w:numPr>
        <w:pStyle w:val="Compact"/>
      </w:pPr>
      <w:r>
        <w:rPr>
          <w:bCs/>
          <w:b/>
        </w:rPr>
        <w:t xml:space="preserve">Local Regulatory Updates:</w:t>
      </w:r>
      <w:r>
        <w:t xml:space="preserve"> </w:t>
      </w:r>
      <w:r>
        <w:t xml:space="preserve">Continue to engage with local professional bodies in Brisbane to stay abreast of any emerging regulatory trends specific to Queensland businesses.</w:t>
      </w:r>
    </w:p>
    <w:p>
      <w:pPr>
        <w:numPr>
          <w:ilvl w:val="0"/>
          <w:numId w:val="1001"/>
        </w:numPr>
        <w:pStyle w:val="Compact"/>
      </w:pPr>
      <w:r>
        <w:rPr>
          <w:bCs/>
          <w:b/>
        </w:rPr>
        <w:t xml:space="preserve">Technology Integration:</w:t>
      </w:r>
      <w:r>
        <w:t xml:space="preserve"> </w:t>
      </w:r>
      <w:r>
        <w:t xml:space="preserve">Consider further investment in audit technology to improve efficiency and data analytics capabilities, which is increasingly important for audits of larger entities in Australia.</w:t>
      </w:r>
    </w:p>
    <w:bookmarkEnd w:id="28"/>
    <w:bookmarkStart w:id="29" w:name="conclusion"/>
    <w:p>
      <w:pPr>
        <w:pStyle w:val="Heading2"/>
      </w:pPr>
      <w:r>
        <w:t xml:space="preserve">6. Conclusion</w:t>
      </w:r>
    </w:p>
    <w:p>
      <w:pPr>
        <w:pStyle w:val="FirstParagraph"/>
      </w:pPr>
      <w:r>
        <w:t xml:space="preserve">In conclusion, this Peer Review Report confirms that the Auditor maintains a high level of professional competence and quality in their audit practices. The Auditor's work is consistent with the requirements of the Australian Auditing Standards and the ethical guidelines of the profession. The minor areas for improvement identified are not considered significant deficiencies and can be addressed through the recommended actions.</w:t>
      </w:r>
    </w:p>
    <w:p>
      <w:pPr>
        <w:pStyle w:val="BodyText"/>
      </w:pPr>
      <w:r>
        <w:t xml:space="preserve">The Auditor's contribution to the integrity of financial reporting in Australia Brisbane is valued, and this review serves to reinforce the confidence of stakeholders in the quality of their services. It is recommended that the Auditor continues to prioritize quality assurance and professional development to maintain their standing in the competitive accounting landscape of Brisbane.</w:t>
      </w:r>
    </w:p>
    <w:bookmarkEnd w:id="29"/>
    <w:p>
      <w:pPr>
        <w:pStyle w:val="BodyText"/>
      </w:pPr>
      <w:r>
        <w:rPr>
          <w:bCs/>
          <w:b/>
        </w:rPr>
        <w:t xml:space="preserve">Prepared by:</w:t>
      </w:r>
    </w:p>
    <w:p>
      <w:pPr>
        <w:pStyle w:val="BodyText"/>
      </w:pPr>
      <w:r>
        <w:t xml:space="preserve">__________________________</w:t>
      </w:r>
    </w:p>
    <w:p>
      <w:pPr>
        <w:pStyle w:val="BodyText"/>
      </w:pPr>
      <w:r>
        <w:t xml:space="preserve">Lead Peer Reviewer</w:t>
      </w:r>
    </w:p>
    <w:p>
      <w:pPr>
        <w:pStyle w:val="BodyText"/>
      </w:pPr>
      <w:r>
        <w:t xml:space="preserve">Chartered Accountant</w:t>
      </w:r>
    </w:p>
    <w:p>
      <w:pPr>
        <w:pStyle w:val="BodyText"/>
      </w:pPr>
      <w:r>
        <w:t xml:space="preserve">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Quality Assurance</dc:title>
  <dc:creator/>
  <dc:language>en</dc:language>
  <cp:keywords/>
  <dcterms:created xsi:type="dcterms:W3CDTF">2026-10-10T07:02:49Z</dcterms:created>
  <dcterms:modified xsi:type="dcterms:W3CDTF">2026-10-10T07:02:49Z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