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Independent</w:t>
      </w:r>
      <w:r>
        <w:t xml:space="preserve"> </w:t>
      </w:r>
      <w:r>
        <w:t xml:space="preserve">Auditor</w:t>
      </w:r>
      <w:r>
        <w:t xml:space="preserve"> </w:t>
      </w:r>
      <w:r>
        <w:t xml:space="preserve">-</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Independent Auditor Quality Assurance Assessment</w:t>
      </w:r>
    </w:p>
    <w:p>
      <w:pPr>
        <w:pStyle w:val="BodyText"/>
      </w:pPr>
      <w:r>
        <w:rPr>
          <w:bCs/>
          <w:b/>
        </w:rPr>
        <w:t xml:space="preserve">Location:</w:t>
      </w:r>
      <w:r>
        <w:t xml:space="preserve"> </w:t>
      </w:r>
      <w:r>
        <w:t xml:space="preserve">Melbourne, Australia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practice, technical competence, and compliance standards of the subject Auditor operating within the jurisdiction of Melbourne, Australia. The review was conducted in accordance with the Australian Auditing Standards (ASA) and the guidelines set forth by the Chartered Accountants Australia and New Zealand (CA ANZ) and the Institute of Public Accountants. The primary objective of this assessment is to ensure that the Auditor maintains the highest level of integrity, objectivity, and professional skepticism required by the regulatory environment in Victoria.</w:t>
      </w:r>
    </w:p>
    <w:p>
      <w:pPr>
        <w:pStyle w:val="BodyText"/>
      </w:pPr>
      <w:r>
        <w:t xml:space="preserve">The scope of this review encompasses a detailed examination of selected audit files, quality control procedures, and the Auditor's adherence to the Code of Ethics for Professional Accountants. The findings indicate that the Auditor demonstrates a robust understanding of the Australian Corporate Law and the specific financial reporting requirements applicable to entities based in Melbourne. However, certain areas regarding documentation efficiency and risk assessment methodologies have been identified for improvement.</w:t>
      </w:r>
    </w:p>
    <w:bookmarkEnd w:id="21"/>
    <w:bookmarkStart w:id="22" w:name="scope-and-methodology"/>
    <w:p>
      <w:pPr>
        <w:pStyle w:val="Heading2"/>
      </w:pPr>
      <w:r>
        <w:t xml:space="preserve">2. Scope and Methodology</w:t>
      </w:r>
    </w:p>
    <w:p>
      <w:pPr>
        <w:pStyle w:val="FirstParagraph"/>
      </w:pPr>
      <w:r>
        <w:t xml:space="preserve">The Peer Review Report was conducted through a comprehensive analysis of the Auditor's work over the preceding twelve months. The methodology included:</w:t>
      </w:r>
    </w:p>
    <w:p>
      <w:pPr>
        <w:numPr>
          <w:ilvl w:val="0"/>
          <w:numId w:val="1001"/>
        </w:numPr>
        <w:pStyle w:val="Compact"/>
      </w:pPr>
      <w:r>
        <w:rPr>
          <w:bCs/>
          <w:b/>
        </w:rPr>
        <w:t xml:space="preserve">File Inspection:</w:t>
      </w:r>
      <w:r>
        <w:t xml:space="preserve"> </w:t>
      </w:r>
      <w:r>
        <w:t xml:space="preserve">A random selection of five audit files representing diverse industries within the Melbourne market, including retail, construction, and professional services.</w:t>
      </w:r>
    </w:p>
    <w:p>
      <w:pPr>
        <w:numPr>
          <w:ilvl w:val="0"/>
          <w:numId w:val="1001"/>
        </w:numPr>
        <w:pStyle w:val="Compact"/>
      </w:pPr>
      <w:r>
        <w:rPr>
          <w:bCs/>
          <w:b/>
        </w:rPr>
        <w:t xml:space="preserve">Interviews:</w:t>
      </w:r>
      <w:r>
        <w:t xml:space="preserve"> </w:t>
      </w:r>
      <w:r>
        <w:t xml:space="preserve">Discussions with the Auditor and key staff members regarding their internal quality control frameworks.</w:t>
      </w:r>
    </w:p>
    <w:p>
      <w:pPr>
        <w:numPr>
          <w:ilvl w:val="0"/>
          <w:numId w:val="1001"/>
        </w:numPr>
        <w:pStyle w:val="Compact"/>
      </w:pPr>
      <w:r>
        <w:rPr>
          <w:bCs/>
          <w:b/>
        </w:rPr>
        <w:t xml:space="preserve">Regulatory Compliance Check:</w:t>
      </w:r>
      <w:r>
        <w:t xml:space="preserve"> </w:t>
      </w:r>
      <w:r>
        <w:t xml:space="preserve">Verification of the Auditor's compliance with the Australian Securities and Investments Commission (ASIC) requirements and the relevant sections of the Corporations Act 2001.</w:t>
      </w:r>
    </w:p>
    <w:p>
      <w:pPr>
        <w:pStyle w:val="FirstParagraph"/>
      </w:pPr>
      <w:r>
        <w:t xml:space="preserve">This approach ensures that the Peer Review Report provides a holistic view of the Auditor's operational effectiveness and their ability to deliver reliable assurance services to stakeholders in Australia Melbourne.</w:t>
      </w:r>
    </w:p>
    <w:bookmarkEnd w:id="22"/>
    <w:bookmarkStart w:id="23" w:name="assessment-of-technical-competence"/>
    <w:p>
      <w:pPr>
        <w:pStyle w:val="Heading2"/>
      </w:pPr>
      <w:r>
        <w:t xml:space="preserve">3. Assessment of Technical Competence</w:t>
      </w:r>
    </w:p>
    <w:p>
      <w:pPr>
        <w:pStyle w:val="FirstParagraph"/>
      </w:pPr>
      <w:r>
        <w:t xml:space="preserve">The Auditor has demonstrated a high level of technical proficiency in applying Australian Accounting Standards (AASB). The review of the audit files reveals that the Auditor correctly identified material misstatements and applied appropriate audit procedures to address identified risks. Specifically, the Auditor's handling of complex revenue recognition issues in accordance with AASB 15 was exemplary.</w:t>
      </w:r>
    </w:p>
    <w:p>
      <w:pPr>
        <w:pStyle w:val="BodyText"/>
      </w:pPr>
      <w:r>
        <w:t xml:space="preserve">Furthermore, the Auditor showed a strong grasp of the local economic context in Melbourne. The assessment of going concern assumptions was particularly thorough, taking into account the specific market volatility affecting Victorian businesses. The Auditor effectively utilized data analytics tools to test populations of transactions, which aligns with modern auditing practices encouraged by professional bodies in Australia.</w:t>
      </w:r>
    </w:p>
    <w:bookmarkEnd w:id="23"/>
    <w:bookmarkStart w:id="24" w:name="quality-control-and-ethics"/>
    <w:p>
      <w:pPr>
        <w:pStyle w:val="Heading2"/>
      </w:pPr>
      <w:r>
        <w:t xml:space="preserve">4. Quality Control and Ethics</w:t>
      </w:r>
    </w:p>
    <w:p>
      <w:pPr>
        <w:pStyle w:val="FirstParagraph"/>
      </w:pPr>
      <w:r>
        <w:t xml:space="preserve">A critical component of this Peer Review Report is the evaluation of the Auditor's adherence to ethical standards. The Auditor has established clear policies regarding independence, confidentiality, and professional behavior. The review confirmed that the Auditor maintains appropriate safeguards to prevent conflicts of interest, which is vital for maintaining public trust in the financial reporting ecosystem of Melbourne.</w:t>
      </w:r>
    </w:p>
    <w:p>
      <w:pPr>
        <w:pStyle w:val="BodyText"/>
      </w:pPr>
      <w:r>
        <w:t xml:space="preserve">The internal quality control system is generally effective. The Auditor performs regular internal reviews of audit files before issuance. However, the Peer Review Report notes that the documentation of these internal reviews could be more detailed. While the Auditor's conclusions are sound, the audit evidence supporting these conclusions should be more explicitly linked to the risk assessment phase in the working papers.</w:t>
      </w:r>
    </w:p>
    <w:bookmarkEnd w:id="24"/>
    <w:bookmarkStart w:id="25" w:name="findings-and-recommendations"/>
    <w:p>
      <w:pPr>
        <w:pStyle w:val="Heading2"/>
      </w:pPr>
      <w:r>
        <w:t xml:space="preserve">5. Findings and Recommendations</w:t>
      </w:r>
    </w:p>
    <w:p>
      <w:pPr>
        <w:pStyle w:val="FirstParagraph"/>
      </w:pPr>
      <w:r>
        <w:t xml:space="preserve">Based on the evidence gathered, the following findings and recommendations are made to enhance the Auditor's practice: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Review</w:t>
            </w:r>
          </w:p>
        </w:tc>
        <w:tc>
          <w:tcPr/>
          <w:p>
            <w:pPr>
              <w:pStyle w:val="Compact"/>
              <w:jc w:val="left"/>
            </w:pPr>
            <w:r>
              <w:t xml:space="preserve">Observation</w:t>
            </w:r>
          </w:p>
        </w:tc>
        <w:tc>
          <w:tcPr/>
          <w:p>
            <w:pPr>
              <w:pStyle w:val="Compact"/>
              <w:jc w:val="left"/>
            </w:pPr>
            <w:r>
              <w:t xml:space="preserve">Recommendation</w:t>
            </w:r>
          </w:p>
        </w:tc>
      </w:tr>
      <w:tr>
        <w:tc>
          <w:tcPr/>
          <w:p>
            <w:pPr>
              <w:pStyle w:val="Compact"/>
              <w:jc w:val="left"/>
            </w:pPr>
            <w:r>
              <w:t xml:space="preserve">Documentation</w:t>
            </w:r>
          </w:p>
        </w:tc>
        <w:tc>
          <w:tcPr/>
          <w:p>
            <w:pPr>
              <w:pStyle w:val="Compact"/>
              <w:jc w:val="left"/>
            </w:pPr>
            <w:r>
              <w:t xml:space="preserve">Some audit working papers lack sufficient detail regarding the rationale for specific sampling methods.</w:t>
            </w:r>
          </w:p>
        </w:tc>
        <w:tc>
          <w:tcPr/>
          <w:p>
            <w:pPr>
              <w:pStyle w:val="Compact"/>
              <w:jc w:val="left"/>
            </w:pPr>
            <w:r>
              <w:t xml:space="preserve">Implement a standardized template for documenting sampling rationales to ensure clarity and defensibility.</w:t>
            </w:r>
          </w:p>
        </w:tc>
      </w:tr>
      <w:tr>
        <w:tc>
          <w:tcPr/>
          <w:p>
            <w:pPr>
              <w:pStyle w:val="Compact"/>
              <w:jc w:val="left"/>
            </w:pPr>
            <w:r>
              <w:t xml:space="preserve">Risk Assessment</w:t>
            </w:r>
          </w:p>
        </w:tc>
        <w:tc>
          <w:tcPr/>
          <w:p>
            <w:pPr>
              <w:pStyle w:val="Compact"/>
              <w:jc w:val="left"/>
            </w:pPr>
            <w:r>
              <w:t xml:space="preserve">While risks were identified, the linkage between identified risks and specific audit procedures was occasionally implicit rather than explicit.</w:t>
            </w:r>
          </w:p>
        </w:tc>
        <w:tc>
          <w:tcPr/>
          <w:p>
            <w:pPr>
              <w:pStyle w:val="Compact"/>
              <w:jc w:val="left"/>
            </w:pPr>
            <w:r>
              <w:t xml:space="preserve">Enhance the audit planning documentation to explicitly map audit procedures to identified risks.</w:t>
            </w:r>
          </w:p>
        </w:tc>
      </w:tr>
      <w:tr>
        <w:tc>
          <w:tcPr/>
          <w:p>
            <w:pPr>
              <w:pStyle w:val="Compact"/>
              <w:jc w:val="left"/>
            </w:pPr>
            <w:r>
              <w:t xml:space="preserve">Continuing Professional Development</w:t>
            </w:r>
          </w:p>
        </w:tc>
        <w:tc>
          <w:tcPr/>
          <w:p>
            <w:pPr>
              <w:pStyle w:val="Compact"/>
              <w:jc w:val="left"/>
            </w:pPr>
            <w:r>
              <w:t xml:space="preserve">The Auditor maintains CPD records, but there is limited evidence of training on emerging technologies in auditing.</w:t>
            </w:r>
          </w:p>
        </w:tc>
        <w:tc>
          <w:tcPr/>
          <w:p>
            <w:pPr>
              <w:pStyle w:val="Compact"/>
              <w:jc w:val="left"/>
            </w:pPr>
            <w:r>
              <w:t xml:space="preserve">Encourage staff to undertake training on AI and data analytics in auditing to stay competitive in the Melbourne market.</w:t>
            </w:r>
          </w:p>
        </w:tc>
      </w:tr>
    </w:tbl>
    <w:bookmarkEnd w:id="25"/>
    <w:bookmarkStart w:id="26" w:name="conclusion"/>
    <w:p>
      <w:pPr>
        <w:pStyle w:val="Heading2"/>
      </w:pPr>
      <w:r>
        <w:t xml:space="preserve">6. Conclusion</w:t>
      </w:r>
    </w:p>
    <w:p>
      <w:pPr>
        <w:pStyle w:val="FirstParagraph"/>
      </w:pPr>
      <w:r>
        <w:t xml:space="preserve">In conclusion, this Peer Review Report affirms that the Auditor operates at a professional standard consistent with the expectations of the Australian auditing profession. The Auditor's practice in Melbourne is characterized by technical competence, ethical integrity, and a commitment to quality. The recommendations provided in this report are intended to further strengthen the Auditor's quality control systems and ensure continued compliance with the rigorous standards of Australia Melbourne.</w:t>
      </w:r>
    </w:p>
    <w:p>
      <w:pPr>
        <w:pStyle w:val="BodyText"/>
      </w:pPr>
      <w:r>
        <w:t xml:space="preserve">The Auditor is required to address the identified findings within ninety (90) days of the issuance of this report. A follow-up review may be conducted to verify the implementation of these recommendations.</w:t>
      </w:r>
    </w:p>
    <w:bookmarkEnd w:id="26"/>
    <w:p>
      <w:pPr>
        <w:pStyle w:val="BodyText"/>
      </w:pPr>
      <w:r>
        <w:rPr>
          <w:bCs/>
          <w:b/>
        </w:rPr>
        <w:t xml:space="preserve">Prepared by:</w:t>
      </w:r>
    </w:p>
    <w:p>
      <w:pPr>
        <w:pStyle w:val="BodyText"/>
      </w:pPr>
      <w:r>
        <w:t xml:space="preserve">__________________________</w:t>
      </w:r>
    </w:p>
    <w:p>
      <w:pPr>
        <w:pStyle w:val="BodyText"/>
      </w:pPr>
      <w:r>
        <w:t xml:space="preserve">Senior Peer Reviewer</w:t>
      </w:r>
    </w:p>
    <w:p>
      <w:pPr>
        <w:pStyle w:val="BodyText"/>
      </w:pPr>
      <w:r>
        <w:t xml:space="preserve">Chartered Accountant Australia and New Zealand</w:t>
      </w:r>
    </w:p>
    <w:p>
      <w:pPr>
        <w:pStyle w:val="BodyText"/>
      </w:pPr>
      <w:r>
        <w:t xml:space="preserve">Melbourne,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Independent Auditor - Melbourne, Australia</dc:title>
  <dc:creator/>
  <dc:language>en</dc:language>
  <cp:keywords/>
  <dcterms:created xsi:type="dcterms:W3CDTF">2026-10-10T07:33:30Z</dcterms:created>
  <dcterms:modified xsi:type="dcterms:W3CDTF">2026-10-10T07:33:30Z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