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Auditor</w:t>
      </w:r>
      <w:r>
        <w:t xml:space="preserve"> </w:t>
      </w:r>
      <w:r>
        <w:t xml:space="preserve">Quality</w:t>
      </w:r>
      <w:r>
        <w:t xml:space="preserve"> </w:t>
      </w:r>
      <w:r>
        <w:t xml:space="preserve">Assurance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Quality Assurance Review of Audit Practices</w:t>
      </w:r>
    </w:p>
    <w:p>
      <w:pPr>
        <w:pStyle w:val="BodyText"/>
      </w:pPr>
      <w:r>
        <w:rPr>
          <w:bCs/>
          <w:b/>
        </w:rPr>
        <w:t xml:space="preserve">Location:</w:t>
      </w:r>
      <w:r>
        <w:t xml:space="preserve"> </w:t>
      </w:r>
      <w:r>
        <w:t xml:space="preserve">Australia Sydney</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competence, and adherence to regulatory standards of the Auditor under review. The scope of this review is specifically tailored to the regulatory environment of Australia Sydney, ensuring compliance with the Australian Charities and Not-for-profits Commission (ACNC), the Corporations Act 2001 (Cth), and the Australian Auditing Standards (ASA) issued by the Auditing and Assurance Standards Board (AUASB).</w:t>
      </w:r>
    </w:p>
    <w:p>
      <w:pPr>
        <w:pStyle w:val="BodyText"/>
      </w:pPr>
      <w:r>
        <w:t xml:space="preserve">The primary objective of this peer review is to provide an independent assessment of the Auditor’s ability to conduct high-quality audits that meet the expectations of stakeholders in the Sydney market. The review covers a sample of audit engagements completed during the financial year ending June 30, 2023. The findings indicate that the Auditor generally maintains a robust quality control framework, though specific areas regarding documentation of risk assessments and local regulatory updates require attention.</w:t>
      </w:r>
    </w:p>
    <w:bookmarkEnd w:id="21"/>
    <w:bookmarkStart w:id="22" w:name="scope-and-methodology"/>
    <w:p>
      <w:pPr>
        <w:pStyle w:val="Heading2"/>
      </w:pPr>
      <w:r>
        <w:t xml:space="preserve">2. Scope and Methodology</w:t>
      </w:r>
    </w:p>
    <w:p>
      <w:pPr>
        <w:pStyle w:val="FirstParagraph"/>
      </w:pPr>
      <w:r>
        <w:t xml:space="preserve">The Peer Review Report was conducted in accordance with the guidelines set forth by the Professional Standards Board for Accountants (PSBA). The review methodology involved a comprehensive examination of audit files, interviews with the Auditor and key staff members, and a review of the firm’s quality control policies.</w:t>
      </w:r>
    </w:p>
    <w:p>
      <w:pPr>
        <w:pStyle w:val="BodyText"/>
      </w:pPr>
      <w:r>
        <w:t xml:space="preserve">The scope included:</w:t>
      </w:r>
    </w:p>
    <w:p>
      <w:pPr>
        <w:numPr>
          <w:ilvl w:val="0"/>
          <w:numId w:val="1001"/>
        </w:numPr>
        <w:pStyle w:val="Compact"/>
      </w:pPr>
      <w:r>
        <w:t xml:space="preserve">Review of five (5) completed audit engagements across various industries prevalent in Australia Sydney, including property management, financial services, and not-for-profit organizations.</w:t>
      </w:r>
    </w:p>
    <w:p>
      <w:pPr>
        <w:numPr>
          <w:ilvl w:val="0"/>
          <w:numId w:val="1001"/>
        </w:numPr>
        <w:pStyle w:val="Compact"/>
      </w:pPr>
      <w:r>
        <w:t xml:space="preserve">Assessment of the Auditor’s compliance with the Australian Auditing Standards (ASA), particularly ASA 230 (Audit Documentation) and ASA 315 (Identifying and Assessing the Risks of Material Misstatement).</w:t>
      </w:r>
    </w:p>
    <w:p>
      <w:pPr>
        <w:numPr>
          <w:ilvl w:val="0"/>
          <w:numId w:val="1001"/>
        </w:numPr>
        <w:pStyle w:val="Compact"/>
      </w:pPr>
      <w:r>
        <w:t xml:space="preserve">Evaluation of the Auditor’s understanding of local Sydney market conditions and their impact on audit risk.</w:t>
      </w:r>
    </w:p>
    <w:p>
      <w:pPr>
        <w:numPr>
          <w:ilvl w:val="0"/>
          <w:numId w:val="1001"/>
        </w:numPr>
        <w:pStyle w:val="Compact"/>
      </w:pPr>
      <w:r>
        <w:t xml:space="preserve">Review of the Auditor’s continuing professional development (CPD) records to ensure ongoing competence in Australian accounting and auditing standards.</w:t>
      </w:r>
    </w:p>
    <w:bookmarkEnd w:id="22"/>
    <w:bookmarkStart w:id="26" w:name="detailed-findings"/>
    <w:p>
      <w:pPr>
        <w:pStyle w:val="Heading2"/>
      </w:pPr>
      <w:r>
        <w:t xml:space="preserve">3. Detailed Findings</w:t>
      </w:r>
    </w:p>
    <w:bookmarkStart w:id="23" w:name="X5e58a29ec0c8285566db6f1c50f1140bd7350b9"/>
    <w:p>
      <w:pPr>
        <w:pStyle w:val="Heading3"/>
      </w:pPr>
      <w:r>
        <w:t xml:space="preserve">3.1 Compliance with Australian Auditing Standards</w:t>
      </w:r>
    </w:p>
    <w:p>
      <w:pPr>
        <w:pStyle w:val="FirstParagraph"/>
      </w:pPr>
      <w:r>
        <w:t xml:space="preserve">The Auditor demonstrates a strong understanding of the Australian Auditing Standards. The audit files reviewed show evidence of proper planning, risk assessment, and substantive testing procedures. The Auditor has appropriately applied materiality thresholds and has documented their rationale for significant judgments made during the audit process.</w:t>
      </w:r>
    </w:p>
    <w:p>
      <w:pPr>
        <w:pStyle w:val="BodyText"/>
      </w:pPr>
      <w:r>
        <w:t xml:space="preserve">However, in one of the reviewed engagements, the documentation of the risk assessment process was found to be insufficient. Specifically, the link between identified risks and the audit procedures performed was not clearly articulated. This is a critical area for improvement, as ASA 315 requires auditors to document the significant risks identified and the audit response to those risks.</w:t>
      </w:r>
    </w:p>
    <w:bookmarkEnd w:id="23"/>
    <w:bookmarkStart w:id="24" w:name="quality-control-and-independence"/>
    <w:p>
      <w:pPr>
        <w:pStyle w:val="Heading3"/>
      </w:pPr>
      <w:r>
        <w:t xml:space="preserve">3.2 Quality Control and Independence</w:t>
      </w:r>
    </w:p>
    <w:p>
      <w:pPr>
        <w:pStyle w:val="FirstParagraph"/>
      </w:pPr>
      <w:r>
        <w:t xml:space="preserve">The Auditor’s firm has established a comprehensive quality control system that aligns with the requirements of ASA 220 (Quality Control for an Audit of Financial Reports). The review found that the firm conducts regular internal reviews of audit files and provides ongoing training to its staff.</w:t>
      </w:r>
    </w:p>
    <w:p>
      <w:pPr>
        <w:pStyle w:val="BodyText"/>
      </w:pPr>
      <w:r>
        <w:t xml:space="preserve">Independence checks were also reviewed, and the Auditor was found to be in compliance with the APES 110 Code of Ethics for Professional Accountants. There were no conflicts of interest identified in the reviewed engagements.</w:t>
      </w:r>
    </w:p>
    <w:bookmarkEnd w:id="24"/>
    <w:bookmarkStart w:id="25" w:name="X18f56fd4134807668403346fd936115efb96e0f"/>
    <w:p>
      <w:pPr>
        <w:pStyle w:val="Heading3"/>
      </w:pPr>
      <w:r>
        <w:t xml:space="preserve">3.3 Local Regulatory Compliance in Australia Sydney</w:t>
      </w:r>
    </w:p>
    <w:p>
      <w:pPr>
        <w:pStyle w:val="FirstParagraph"/>
      </w:pPr>
      <w:r>
        <w:t xml:space="preserve">Given the specific regulatory environment of Australia Sydney, the Auditor was assessed on their knowledge of local laws and regulations. The Auditor demonstrated a good understanding of the Corporations Act 2001 (Cth) and its implications for audit engagements.</w:t>
      </w:r>
    </w:p>
    <w:p>
      <w:pPr>
        <w:pStyle w:val="BodyText"/>
      </w:pPr>
      <w:r>
        <w:t xml:space="preserve">However, there is room for improvement in the Auditor’s awareness of recent changes in local tax laws and their impact on financial reporting. The Auditor should ensure that their team is regularly updated on changes in the New South Wales (NSW) tax legislation and any specific requirements imposed by the ACNC for not-for-profit organizations operating in Sydney.</w:t>
      </w:r>
    </w:p>
    <w:bookmarkEnd w:id="25"/>
    <w:bookmarkEnd w:id="26"/>
    <w:bookmarkStart w:id="27" w:name="recommendations"/>
    <w:p>
      <w:pPr>
        <w:pStyle w:val="Heading2"/>
      </w:pPr>
      <w:r>
        <w:t xml:space="preserve">4. Recommendations</w:t>
      </w:r>
    </w:p>
    <w:p>
      <w:pPr>
        <w:pStyle w:val="FirstParagraph"/>
      </w:pPr>
      <w:r>
        <w:t xml:space="preserve">Based on the findings of this Peer Review Report, the following recommendations are made to enhance the quality of the Auditor’s work:</w:t>
      </w:r>
    </w:p>
    <w:p>
      <w:pPr>
        <w:numPr>
          <w:ilvl w:val="0"/>
          <w:numId w:val="1002"/>
        </w:numPr>
        <w:pStyle w:val="Compact"/>
      </w:pPr>
      <w:r>
        <w:rPr>
          <w:bCs/>
          <w:b/>
        </w:rPr>
        <w:t xml:space="preserve">Enhance Risk Assessment Documentation:</w:t>
      </w:r>
      <w:r>
        <w:t xml:space="preserve"> </w:t>
      </w:r>
      <w:r>
        <w:t xml:space="preserve">The Auditor should ensure that the link between identified risks and audit procedures is clearly documented in all audit files. This will help demonstrate compliance with ASA 315 and provide a clear audit trail.</w:t>
      </w:r>
    </w:p>
    <w:p>
      <w:pPr>
        <w:numPr>
          <w:ilvl w:val="0"/>
          <w:numId w:val="1002"/>
        </w:numPr>
        <w:pStyle w:val="Compact"/>
      </w:pPr>
      <w:r>
        <w:rPr>
          <w:bCs/>
          <w:b/>
        </w:rPr>
        <w:t xml:space="preserve">Strengthen Local Regulatory Knowledge:</w:t>
      </w:r>
      <w:r>
        <w:t xml:space="preserve"> </w:t>
      </w:r>
      <w:r>
        <w:t xml:space="preserve">The Auditor should implement a regular training program focused on updates to Australian and NSW-specific regulations. This will ensure that the Auditor remains current with the evolving regulatory landscape in Australia Sydney.</w:t>
      </w:r>
    </w:p>
    <w:p>
      <w:pPr>
        <w:numPr>
          <w:ilvl w:val="0"/>
          <w:numId w:val="1002"/>
        </w:numPr>
        <w:pStyle w:val="Compact"/>
      </w:pPr>
      <w:r>
        <w:rPr>
          <w:bCs/>
          <w:b/>
        </w:rPr>
        <w:t xml:space="preserve">Improve Communication with Audit Committees:</w:t>
      </w:r>
      <w:r>
        <w:t xml:space="preserve"> </w:t>
      </w:r>
      <w:r>
        <w:t xml:space="preserve">The Auditor should enhance their communication with audit committees, particularly regarding significant audit findings and risks. This will help build trust and ensure that stakeholders are fully informed.</w:t>
      </w:r>
    </w:p>
    <w:p>
      <w:pPr>
        <w:numPr>
          <w:ilvl w:val="0"/>
          <w:numId w:val="1002"/>
        </w:numPr>
        <w:pStyle w:val="Compact"/>
      </w:pPr>
      <w:r>
        <w:rPr>
          <w:bCs/>
          <w:b/>
        </w:rPr>
        <w:t xml:space="preserve">Conduct Regular Internal Peer Reviews:</w:t>
      </w:r>
      <w:r>
        <w:t xml:space="preserve"> </w:t>
      </w:r>
      <w:r>
        <w:t xml:space="preserve">The Auditor should continue to conduct regular internal peer reviews to identify and address any quality issues promptly. This proactive approach will help maintain high standards of audit quality.</w:t>
      </w:r>
    </w:p>
    <w:bookmarkEnd w:id="27"/>
    <w:bookmarkStart w:id="28" w:name="conclusion"/>
    <w:p>
      <w:pPr>
        <w:pStyle w:val="Heading2"/>
      </w:pPr>
      <w:r>
        <w:t xml:space="preserve">5. Conclusion</w:t>
      </w:r>
    </w:p>
    <w:p>
      <w:pPr>
        <w:pStyle w:val="FirstParagraph"/>
      </w:pPr>
      <w:r>
        <w:t xml:space="preserve">In conclusion, this Peer Review Report provides a comprehensive assessment of the Auditor’s performance and compliance with relevant standards in Australia Sydney. While the Auditor demonstrates a strong commitment to quality and professionalism, there are specific areas that require improvement to ensure continued compliance and excellence. By implementing the recommendations outlined in this report, the Auditor can further enhance the quality of their audit services and maintain the trust of their clients and stakeholders.</w:t>
      </w:r>
    </w:p>
    <w:p>
      <w:pPr>
        <w:pStyle w:val="BodyText"/>
      </w:pPr>
      <w:r>
        <w:t xml:space="preserve">This report is intended for the use of the Auditor and their firm’s management. It is not intended for distribution to third parties without the express consent of the Auditor.</w:t>
      </w:r>
    </w:p>
    <w:bookmarkEnd w:id="28"/>
    <w:p>
      <w:pPr>
        <w:pStyle w:val="BodyText"/>
      </w:pPr>
      <w:r>
        <w:rPr>
          <w:bCs/>
          <w:b/>
        </w:rPr>
        <w:t xml:space="preserve">Prepared by:</w:t>
      </w:r>
    </w:p>
    <w:p>
      <w:pPr>
        <w:pStyle w:val="BodyText"/>
      </w:pPr>
      <w:r>
        <w:t xml:space="preserve">John Doe, CA</w:t>
      </w:r>
    </w:p>
    <w:p>
      <w:pPr>
        <w:pStyle w:val="BodyText"/>
      </w:pPr>
      <w:r>
        <w:t xml:space="preserve">Senior Peer Reviewer</w:t>
      </w:r>
    </w:p>
    <w:p>
      <w:pPr>
        <w:pStyle w:val="BodyText"/>
      </w:pPr>
      <w:r>
        <w:t xml:space="preserve">Audit Quality Assurance Division</w:t>
      </w:r>
    </w:p>
    <w:p>
      <w:pPr>
        <w:pStyle w:val="BodyText"/>
      </w:pPr>
      <w:r>
        <w:t xml:space="preserve">Australia Sydney</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Auditor Quality Assurance</dc:title>
  <dc:creator/>
  <dc:language>en</dc:language>
  <cp:keywords/>
  <dcterms:created xsi:type="dcterms:W3CDTF">2026-10-10T08:41:10Z</dcterms:created>
  <dcterms:modified xsi:type="dcterms:W3CDTF">2026-10-10T08:41:10Z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