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Statutory</w:t>
      </w:r>
      <w:r>
        <w:t xml:space="preserve"> </w:t>
      </w:r>
      <w:r>
        <w:t xml:space="preserve">Auditor</w:t>
      </w:r>
      <w:r>
        <w:t xml:space="preserve"> </w:t>
      </w:r>
      <w:r>
        <w:t xml:space="preserve">-</w:t>
      </w:r>
      <w:r>
        <w:t xml:space="preserve"> </w:t>
      </w:r>
      <w:r>
        <w:t xml:space="preserve">Brussels,</w:t>
      </w:r>
      <w:r>
        <w:t xml:space="preserve"> </w:t>
      </w:r>
      <w:r>
        <w:t xml:space="preserve">Belgium</w:t>
      </w:r>
    </w:p>
    <w:bookmarkStart w:id="29" w:name="peer-review-report"/>
    <w:p>
      <w:pPr>
        <w:pStyle w:val="Heading1"/>
      </w:pPr>
      <w:r>
        <w:t xml:space="preserve">Peer Review Report</w:t>
      </w:r>
    </w:p>
    <w:p>
      <w:pPr>
        <w:pStyle w:val="FirstParagraph"/>
      </w:pPr>
      <w:r>
        <w:t xml:space="preserve">Subject of Review:</w:t>
      </w:r>
    </w:p>
    <w:p>
      <w:pPr>
        <w:pStyle w:val="BodyText"/>
      </w:pPr>
      <w:r>
        <w:t xml:space="preserve">[Name of the Statutory Auditor / Audit Firm]</w:t>
      </w:r>
    </w:p>
    <w:p>
      <w:pPr>
        <w:pStyle w:val="BodyText"/>
      </w:pPr>
      <w:r>
        <w:t xml:space="preserve">Registration Number:</w:t>
      </w:r>
    </w:p>
    <w:p>
      <w:pPr>
        <w:pStyle w:val="BodyText"/>
      </w:pPr>
      <w:r>
        <w:t xml:space="preserve">[Insert Registration Number]</w:t>
      </w:r>
    </w:p>
    <w:p>
      <w:pPr>
        <w:pStyle w:val="BodyText"/>
      </w:pPr>
      <w:r>
        <w:t xml:space="preserve">Location:</w:t>
      </w:r>
    </w:p>
    <w:p>
      <w:pPr>
        <w:pStyle w:val="BodyText"/>
      </w:pPr>
      <w:r>
        <w:t xml:space="preserve">Brussels, Belgium</w:t>
      </w:r>
    </w:p>
    <w:p>
      <w:pPr>
        <w:pStyle w:val="BodyText"/>
      </w:pPr>
      <w:r>
        <w:t xml:space="preserve">Reviewing Body:</w:t>
      </w:r>
    </w:p>
    <w:p>
      <w:pPr>
        <w:pStyle w:val="BodyText"/>
      </w:pPr>
      <w:r>
        <w:t xml:space="preserve">[Name of the Peer Review Organization]</w:t>
      </w:r>
    </w:p>
    <w:p>
      <w:pPr>
        <w:pStyle w:val="BodyText"/>
      </w:pPr>
      <w:r>
        <w:t xml:space="preserve">Date of Report:</w:t>
      </w:r>
    </w:p>
    <w:p>
      <w:pPr>
        <w:pStyle w:val="BodyText"/>
      </w:pPr>
      <w:r>
        <w:t xml:space="preserve">[Insert Date]</w:t>
      </w:r>
    </w:p>
    <w:p>
      <w:pPr>
        <w:pStyle w:val="BodyText"/>
      </w:pPr>
      <w:r>
        <w:t xml:space="preserve">Review Period:</w:t>
      </w:r>
    </w:p>
    <w:p>
      <w:pPr>
        <w:pStyle w:val="BodyText"/>
      </w:pPr>
      <w:r>
        <w:t xml:space="preserve">[Insert Start Date] to [Insert End Date]</w:t>
      </w:r>
    </w:p>
    <w:bookmarkStart w:id="20" w:name="introduction-and-scope"/>
    <w:p>
      <w:pPr>
        <w:pStyle w:val="Heading2"/>
      </w:pPr>
      <w:r>
        <w:t xml:space="preserve">1. Introduction and Scope</w:t>
      </w:r>
    </w:p>
    <w:p>
      <w:pPr>
        <w:pStyle w:val="FirstParagraph"/>
      </w:pPr>
      <w:r>
        <w:t xml:space="preserve">This Peer Review Report has been prepared in accordance with the statutory requirements governing the profession of statutory auditors in Belgium. Specifically, this review assesses the compliance of the Auditor with the Code of Ethics and the International Standards on Auditing (ISAs) as adopted by the European Union. The review focuses on the quality of audit work performed by the Auditor based in Brussels, Belgium, ensuring alignment with the regulatory framework established by the National Bank of Belgium (NBB) and the Commission de Contrôle des Comptables Agréés (CCCA).</w:t>
      </w:r>
    </w:p>
    <w:p>
      <w:pPr>
        <w:pStyle w:val="BodyText"/>
      </w:pPr>
      <w:r>
        <w:t xml:space="preserve">The primary objective of this Peer Review is to provide assurance that the Auditor maintains high standards of professional competence, independence, and quality control. Given the strategic economic importance of Brussels as a hub for multinational corporations and EU institutions, the scrutiny of audit quality in this region is paramount. This report evaluates a sample of audit engagements conducted during the review period to determine if the Auditor's methodologies and conclusions are robust, defensible, and compliant with Belgian law.</w:t>
      </w:r>
    </w:p>
    <w:bookmarkEnd w:id="20"/>
    <w:bookmarkStart w:id="21" w:name="regulatory-framework-and-standards"/>
    <w:p>
      <w:pPr>
        <w:pStyle w:val="Heading2"/>
      </w:pPr>
      <w:r>
        <w:t xml:space="preserve">2. Regulatory Framework and Standards</w:t>
      </w:r>
    </w:p>
    <w:p>
      <w:pPr>
        <w:pStyle w:val="FirstParagraph"/>
      </w:pPr>
      <w:r>
        <w:t xml:space="preserve">The review was conducted against the backdrop of the Belgian Law of 7 May 2004 on the profession of statutory auditor and the Royal Decree of 24 July 2014. These regulations mandate that all statutory auditors in Belgium, including those operating in Brussels, must undergo regular peer reviews to maintain their registration. The Auditor is expected to adhere strictly to the ISAs, which dictate the planning, execution, and reporting phases of an audit.</w:t>
      </w:r>
    </w:p>
    <w:p>
      <w:pPr>
        <w:pStyle w:val="BodyText"/>
      </w:pPr>
      <w:r>
        <w:t xml:space="preserve">Furthermore, the review considered the specific requirements regarding independence and ethical conduct as outlined in the Code of Ethics for Professional Accountants. In the context of Brussels, where complex cross-border transactions are frequent, the Auditor's ability to navigate conflicts of interest and maintain objectivity is a critical component of this assessment.</w:t>
      </w:r>
    </w:p>
    <w:bookmarkEnd w:id="21"/>
    <w:bookmarkStart w:id="22" w:name="methodology-of-the-review"/>
    <w:p>
      <w:pPr>
        <w:pStyle w:val="Heading2"/>
      </w:pPr>
      <w:r>
        <w:t xml:space="preserve">3. Methodology of the Review</w:t>
      </w:r>
    </w:p>
    <w:p>
      <w:pPr>
        <w:pStyle w:val="FirstParagraph"/>
      </w:pPr>
      <w:r>
        <w:t xml:space="preserve">The Peer Review team employed a risk-based approach to select audit files for inspection. The methodology involved a detailed examination of the working papers, audit plans, and final audit reports for a representative sample of clients. The selection criteria prioritized engagements with higher inherent risks, such as those involving significant estimates, complex financial instruments, or entities operating in regulated industries common in the Brussels metropolitan area.</w:t>
      </w:r>
    </w:p>
    <w:p>
      <w:pPr>
        <w:pStyle w:val="BodyText"/>
      </w:pPr>
      <w:r>
        <w:t xml:space="preserve">The review process included:</w:t>
      </w:r>
    </w:p>
    <w:p>
      <w:pPr>
        <w:numPr>
          <w:ilvl w:val="0"/>
          <w:numId w:val="1001"/>
        </w:numPr>
        <w:pStyle w:val="Compact"/>
      </w:pPr>
      <w:r>
        <w:t xml:space="preserve">Interviews with the Auditor and key members of the audit team to assess their understanding of professional standards.</w:t>
      </w:r>
    </w:p>
    <w:p>
      <w:pPr>
        <w:numPr>
          <w:ilvl w:val="0"/>
          <w:numId w:val="1001"/>
        </w:numPr>
        <w:pStyle w:val="Compact"/>
      </w:pPr>
      <w:r>
        <w:t xml:space="preserve">Inspection of the firm's Quality Management System (QMS) to ensure it meets the requirements of ISA 220.</w:t>
      </w:r>
    </w:p>
    <w:p>
      <w:pPr>
        <w:numPr>
          <w:ilvl w:val="0"/>
          <w:numId w:val="1001"/>
        </w:numPr>
        <w:pStyle w:val="Compact"/>
      </w:pPr>
      <w:r>
        <w:t xml:space="preserve">Verification of the Auditor's continuing professional development (CPD) records to ensure ongoing competence.</w:t>
      </w:r>
    </w:p>
    <w:p>
      <w:pPr>
        <w:numPr>
          <w:ilvl w:val="0"/>
          <w:numId w:val="1001"/>
        </w:numPr>
        <w:pStyle w:val="Compact"/>
      </w:pPr>
      <w:r>
        <w:t xml:space="preserve">Assessment of the documentation regarding independence checks and client acceptance procedures.</w:t>
      </w:r>
    </w:p>
    <w:bookmarkEnd w:id="22"/>
    <w:bookmarkStart w:id="26" w:name="findings-and-observations"/>
    <w:p>
      <w:pPr>
        <w:pStyle w:val="Heading2"/>
      </w:pPr>
      <w:r>
        <w:t xml:space="preserve">4. Findings and Observations</w:t>
      </w:r>
    </w:p>
    <w:bookmarkStart w:id="23" w:name="X524e729da17f694a29566b6209e558645cabde1"/>
    <w:p>
      <w:pPr>
        <w:pStyle w:val="Heading3"/>
      </w:pPr>
      <w:r>
        <w:t xml:space="preserve">4.1 Compliance with International Standards on Auditing (ISAs)</w:t>
      </w:r>
    </w:p>
    <w:p>
      <w:pPr>
        <w:pStyle w:val="FirstParagraph"/>
      </w:pPr>
      <w:r>
        <w:t xml:space="preserve">The review found that the Auditor generally complies with the ISAs. The audit planning documents demonstrated a clear understanding of the client's business environment and risk factors. The risk assessment procedures were adequately documented, and the responses to assessed risks were appropriate. However, in one instance, the documentation regarding the testing of internal controls was found to be insufficiently detailed. The Auditor was advised to enhance the granularity of their working papers to better support their conclusions, particularly for high-risk areas.</w:t>
      </w:r>
    </w:p>
    <w:bookmarkEnd w:id="23"/>
    <w:bookmarkStart w:id="24" w:name="independence-and-ethics"/>
    <w:p>
      <w:pPr>
        <w:pStyle w:val="Heading3"/>
      </w:pPr>
      <w:r>
        <w:t xml:space="preserve">4.2 Independence and Ethics</w:t>
      </w:r>
    </w:p>
    <w:p>
      <w:pPr>
        <w:pStyle w:val="FirstParagraph"/>
      </w:pPr>
      <w:r>
        <w:t xml:space="preserve">The Auditor's independence policies were found to be robust and compliant with Belgian regulations. The review confirmed that the Auditor maintains a rigorous process for identifying and evaluating threats to independence. Given the close-knit nature of the business community in Brussels, the Auditor's proactive approach to managing non-audit services and financial relationships with clients is commendable. No breaches of ethical standards were identified during this review.</w:t>
      </w:r>
    </w:p>
    <w:bookmarkEnd w:id="24"/>
    <w:bookmarkStart w:id="25" w:name="quality-control-systems"/>
    <w:p>
      <w:pPr>
        <w:pStyle w:val="Heading3"/>
      </w:pPr>
      <w:r>
        <w:t xml:space="preserve">4.3 Quality Control Systems</w:t>
      </w:r>
    </w:p>
    <w:p>
      <w:pPr>
        <w:pStyle w:val="FirstParagraph"/>
      </w:pPr>
      <w:r>
        <w:t xml:space="preserve">The Auditor has implemented a comprehensive Quality Control System that aligns with the requirements of the CCCA. The system includes regular internal inspections and a clear hierarchy for resolving technical issues. The review noted that the Auditor actively participates in technical forums and stays updated with changes in Belgian accounting standards (Belgian GAAP) and IFRS. This commitment to quality assurance is essential for maintaining public trust in the audit profession in Belgium.</w:t>
      </w:r>
    </w:p>
    <w:bookmarkEnd w:id="25"/>
    <w:bookmarkEnd w:id="26"/>
    <w:bookmarkStart w:id="27" w:name="recommendations"/>
    <w:p>
      <w:pPr>
        <w:pStyle w:val="Heading2"/>
      </w:pPr>
      <w:r>
        <w:t xml:space="preserve">5. Recommendations</w:t>
      </w:r>
    </w:p>
    <w:p>
      <w:pPr>
        <w:pStyle w:val="FirstParagraph"/>
      </w:pPr>
      <w:r>
        <w:t xml:space="preserve">Based on the findings, the Peer Review team makes the following recommendations to the Auditor:</w:t>
      </w:r>
    </w:p>
    <w:p>
      <w:pPr>
        <w:numPr>
          <w:ilvl w:val="0"/>
          <w:numId w:val="1002"/>
        </w:numPr>
        <w:pStyle w:val="Compact"/>
      </w:pPr>
      <w:r>
        <w:rPr>
          <w:bCs/>
          <w:b/>
        </w:rPr>
        <w:t xml:space="preserve">Enhance Documentation:</w:t>
      </w:r>
      <w:r>
        <w:t xml:space="preserve"> </w:t>
      </w:r>
      <w:r>
        <w:t xml:space="preserve">Improve the detail level in working papers related to internal control testing and substantive procedures for high-risk accounts.</w:t>
      </w:r>
    </w:p>
    <w:p>
      <w:pPr>
        <w:numPr>
          <w:ilvl w:val="0"/>
          <w:numId w:val="1002"/>
        </w:numPr>
        <w:pStyle w:val="Compact"/>
      </w:pPr>
      <w:r>
        <w:rPr>
          <w:bCs/>
          <w:b/>
        </w:rPr>
        <w:t xml:space="preserve">Training:</w:t>
      </w:r>
      <w:r>
        <w:t xml:space="preserve"> </w:t>
      </w:r>
      <w:r>
        <w:t xml:space="preserve">Provide additional training to junior staff on the specific nuances of auditing entities with significant EU regulatory exposure, which is common in Brussels.</w:t>
      </w:r>
    </w:p>
    <w:p>
      <w:pPr>
        <w:numPr>
          <w:ilvl w:val="0"/>
          <w:numId w:val="1002"/>
        </w:numPr>
        <w:pStyle w:val="Compact"/>
      </w:pPr>
      <w:r>
        <w:rPr>
          <w:bCs/>
          <w:b/>
        </w:rPr>
        <w:t xml:space="preserve">Review Cycle:</w:t>
      </w:r>
      <w:r>
        <w:t xml:space="preserve"> </w:t>
      </w:r>
      <w:r>
        <w:t xml:space="preserve">Implement a more frequent internal review cycle for complex engagements to ensure early detection of potential quality issues.</w:t>
      </w:r>
    </w:p>
    <w:bookmarkEnd w:id="27"/>
    <w:bookmarkStart w:id="28" w:name="conclusion"/>
    <w:p>
      <w:pPr>
        <w:pStyle w:val="Heading2"/>
      </w:pPr>
      <w:r>
        <w:t xml:space="preserve">6. Conclusion</w:t>
      </w:r>
    </w:p>
    <w:p>
      <w:pPr>
        <w:pStyle w:val="FirstParagraph"/>
      </w:pPr>
      <w:r>
        <w:t xml:space="preserve">In conclusion, the Peer Review Report confirms that the Auditor operates in accordance with the professional standards and legal requirements applicable in Belgium. The Auditor demonstrates a strong commitment to quality, independence, and professional competence. While minor improvements in documentation are recommended, the overall quality of the audit work performed in Brussels is satisfactory. The Auditor is deemed fit to continue practicing as a statutory auditor in Belgium, provided the recommendations outlined in this report are addressed.</w:t>
      </w:r>
    </w:p>
    <w:p>
      <w:pPr>
        <w:pStyle w:val="BodyText"/>
      </w:pPr>
      <w:r>
        <w:rPr>
          <w:bCs/>
          <w:b/>
        </w:rPr>
        <w:t xml:space="preserve">Lead Reviewer</w:t>
      </w:r>
    </w:p>
    <w:p>
      <w:pPr>
        <w:pStyle w:val="BodyText"/>
      </w:pPr>
      <w:r>
        <w:t xml:space="preserve">[Name of Lead Reviewer]</w:t>
      </w:r>
    </w:p>
    <w:p>
      <w:pPr>
        <w:pStyle w:val="BodyText"/>
      </w:pPr>
      <w:r>
        <w:t xml:space="preserve">[Title]</w:t>
      </w:r>
    </w:p>
    <w:p>
      <w:pPr>
        <w:pStyle w:val="BodyText"/>
      </w:pPr>
      <w:r>
        <w:rPr>
          <w:bCs/>
          <w:b/>
        </w:rPr>
        <w:t xml:space="preserve">Reviewing Body Representative</w:t>
      </w:r>
    </w:p>
    <w:p>
      <w:pPr>
        <w:pStyle w:val="BodyText"/>
      </w:pPr>
      <w:r>
        <w:t xml:space="preserve">[Name of Representative]</w:t>
      </w:r>
    </w:p>
    <w:p>
      <w:pPr>
        <w:pStyle w:val="BodyText"/>
      </w:pPr>
      <w:r>
        <w:t xml:space="preserve">[Title]</w:t>
      </w:r>
    </w:p>
    <w:p>
      <w:pPr>
        <w:pStyle w:val="BodyText"/>
      </w:pPr>
      <w:r>
        <w:t xml:space="preserve">This document is a formal Peer Review Report intended for the use of the Auditor and the relevant regulatory bodies in Belgium. It is not intended for public distribution without prior authorization. The findings and recommendations are based on the information available at the time of the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Statutory Auditor - Brussels, Belgium</dc:title>
  <dc:creator/>
  <dc:language>en</dc:language>
  <cp:keywords/>
  <dcterms:created xsi:type="dcterms:W3CDTF">2026-10-10T09:17:18Z</dcterms:created>
  <dcterms:modified xsi:type="dcterms:W3CDTF">2026-10-10T09:17:18Z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