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Auditor</w:t>
      </w:r>
      <w:r>
        <w:t xml:space="preserve"> </w:t>
      </w:r>
      <w:r>
        <w:t xml:space="preserve">Performance</w:t>
      </w:r>
      <w:r>
        <w:t xml:space="preserve"> </w:t>
      </w:r>
      <w:r>
        <w:t xml:space="preserve">Evaluation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Performance Evaluation of Auditor</w:t>
      </w:r>
    </w:p>
    <w:p>
      <w:pPr>
        <w:pStyle w:val="BodyText"/>
      </w:pPr>
      <w:r>
        <w:rPr>
          <w:bCs/>
          <w:b/>
        </w:rPr>
        <w:t xml:space="preserve">Location:</w:t>
      </w:r>
      <w:r>
        <w:t xml:space="preserve"> </w:t>
      </w:r>
      <w:r>
        <w:t xml:space="preserve">Brazil São Paulo</w:t>
      </w:r>
    </w:p>
    <w:p>
      <w:pPr>
        <w:pStyle w:val="BodyText"/>
      </w:pPr>
      <w:r>
        <w:rPr>
          <w:bCs/>
          <w:b/>
        </w:rPr>
        <w:t xml:space="preserve">Date:</w:t>
      </w:r>
      <w:r>
        <w:t xml:space="preserve"> </w:t>
      </w:r>
      <w:r>
        <w:t xml:space="preserve">October 24,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technical competence, and adherence to regulatory standards of an Auditor operating within the financial and corporate landscape of Brazil São Paulo. The purpose of this review is to ensure that the Auditor maintains the highest standards of integrity, objectivity, and professionalism in accordance with the guidelines set forth by the Brazilian Federal Council of Accounting (Conselho Federal de Contabilidade - CFC) and the International Standards on Auditing (ISA).</w:t>
      </w:r>
    </w:p>
    <w:p>
      <w:pPr>
        <w:pStyle w:val="BodyText"/>
      </w:pPr>
      <w:r>
        <w:t xml:space="preserve">Brazil São Paulo is a critical hub for economic activity in Latin America, hosting a diverse range of industries including finance, technology, manufacturing, and services. The complexity and scale of operations in this region require Auditors to possess not only technical expertise but also a deep understanding of local regulations, cultural nuances, and market dynamics. This report aims to provide a comprehensive assessment of the Auditor's ability to navigate these challenges effectively.</w:t>
      </w:r>
    </w:p>
    <w:bookmarkEnd w:id="21"/>
    <w:bookmarkStart w:id="22" w:name="scope-of-the-review"/>
    <w:p>
      <w:pPr>
        <w:pStyle w:val="Heading2"/>
      </w:pPr>
      <w:r>
        <w:t xml:space="preserve">2. Scope of the Review</w:t>
      </w:r>
    </w:p>
    <w:p>
      <w:pPr>
        <w:pStyle w:val="FirstParagraph"/>
      </w:pPr>
      <w:r>
        <w:t xml:space="preserve">The scope of this Peer Review Report encompasses the following key areas:</w:t>
      </w:r>
    </w:p>
    <w:p>
      <w:pPr>
        <w:numPr>
          <w:ilvl w:val="0"/>
          <w:numId w:val="1001"/>
        </w:numPr>
        <w:pStyle w:val="Compact"/>
      </w:pPr>
      <w:r>
        <w:t xml:space="preserve">Compliance with Brazilian accounting standards (BR GAAP) and International Financial Reporting Standards (IFRS).</w:t>
      </w:r>
    </w:p>
    <w:p>
      <w:pPr>
        <w:numPr>
          <w:ilvl w:val="0"/>
          <w:numId w:val="1001"/>
        </w:numPr>
        <w:pStyle w:val="Compact"/>
      </w:pPr>
      <w:r>
        <w:t xml:space="preserve">Adherence to ethical principles outlined by the CFC and the Institute of Chartered Accountants of Brazil (Instituto dos Auditores Independentes do Brasil - IABI).</w:t>
      </w:r>
    </w:p>
    <w:p>
      <w:pPr>
        <w:numPr>
          <w:ilvl w:val="0"/>
          <w:numId w:val="1001"/>
        </w:numPr>
        <w:pStyle w:val="Compact"/>
      </w:pPr>
      <w:r>
        <w:t xml:space="preserve">Quality of audit planning, execution, and reporting.</w:t>
      </w:r>
    </w:p>
    <w:p>
      <w:pPr>
        <w:numPr>
          <w:ilvl w:val="0"/>
          <w:numId w:val="1001"/>
        </w:numPr>
        <w:pStyle w:val="Compact"/>
      </w:pPr>
      <w:r>
        <w:t xml:space="preserve">Effectiveness in identifying and addressing risks specific to the Brazil São Paulo market.</w:t>
      </w:r>
    </w:p>
    <w:p>
      <w:pPr>
        <w:numPr>
          <w:ilvl w:val="0"/>
          <w:numId w:val="1001"/>
        </w:numPr>
        <w:pStyle w:val="Compact"/>
      </w:pPr>
      <w:r>
        <w:t xml:space="preserve">Communication skills and stakeholder engagement.</w:t>
      </w:r>
    </w:p>
    <w:p>
      <w:pPr>
        <w:pStyle w:val="FirstParagraph"/>
      </w:pPr>
      <w:r>
        <w:t xml:space="preserve">The review was conducted through a combination of document analysis, interviews with colleagues and clients, and observation of the Auditor's work processes.</w:t>
      </w:r>
    </w:p>
    <w:bookmarkEnd w:id="22"/>
    <w:bookmarkStart w:id="27" w:name="evaluation-criteria"/>
    <w:p>
      <w:pPr>
        <w:pStyle w:val="Heading2"/>
      </w:pPr>
      <w:r>
        <w:t xml:space="preserve">3. Evaluation Criteria</w:t>
      </w:r>
    </w:p>
    <w:bookmarkStart w:id="23" w:name="technical-competence"/>
    <w:p>
      <w:pPr>
        <w:pStyle w:val="Heading3"/>
      </w:pPr>
      <w:r>
        <w:t xml:space="preserve">3.1 Technical Competence</w:t>
      </w:r>
    </w:p>
    <w:p>
      <w:pPr>
        <w:pStyle w:val="FirstParagraph"/>
      </w:pPr>
      <w:r>
        <w:t xml:space="preserve">The Auditor demonstrated a strong command of technical knowledge, particularly in areas such as revenue recognition, tax compliance, and financial statement analysis. Their ability to apply BR GAAP and IFRS principles to complex transactions was commendable. However, there were instances where the Auditor could have provided more detailed explanations for certain judgments made during the audit process.</w:t>
      </w:r>
    </w:p>
    <w:bookmarkEnd w:id="23"/>
    <w:bookmarkStart w:id="24" w:name="regulatory-compliance"/>
    <w:p>
      <w:pPr>
        <w:pStyle w:val="Heading3"/>
      </w:pPr>
      <w:r>
        <w:t xml:space="preserve">3.2 Regulatory Compliance</w:t>
      </w:r>
    </w:p>
    <w:p>
      <w:pPr>
        <w:pStyle w:val="FirstParagraph"/>
      </w:pPr>
      <w:r>
        <w:t xml:space="preserve">The Auditor consistently adhered to the regulatory requirements imposed by the CFC and other relevant authorities in Brazil São Paulo. They maintained up-to-date records and ensured that all audits were conducted in accordance with the latest legal frameworks. This commitment to compliance is crucial in a jurisdiction as dynamic as Brazil São Paulo, where regulatory changes are frequent.</w:t>
      </w:r>
    </w:p>
    <w:bookmarkEnd w:id="24"/>
    <w:bookmarkStart w:id="25" w:name="risk-management"/>
    <w:p>
      <w:pPr>
        <w:pStyle w:val="Heading3"/>
      </w:pPr>
      <w:r>
        <w:t xml:space="preserve">3.3 Risk Management</w:t>
      </w:r>
    </w:p>
    <w:p>
      <w:pPr>
        <w:pStyle w:val="FirstParagraph"/>
      </w:pPr>
      <w:r>
        <w:t xml:space="preserve">The Auditor exhibited a proactive approach to risk management, identifying potential issues early in the audit process and implementing appropriate mitigation strategies. Their understanding of the unique risks associated with operating in Brazil São Paulo, such as currency fluctuations and political instability, was evident in their audit plans and reports.</w:t>
      </w:r>
    </w:p>
    <w:bookmarkEnd w:id="25"/>
    <w:bookmarkStart w:id="26" w:name="communication-and-stakeholder-engagement"/>
    <w:p>
      <w:pPr>
        <w:pStyle w:val="Heading3"/>
      </w:pPr>
      <w:r>
        <w:t xml:space="preserve">3.4 Communication and Stakeholder Engagement</w:t>
      </w:r>
    </w:p>
    <w:p>
      <w:pPr>
        <w:pStyle w:val="FirstParagraph"/>
      </w:pPr>
      <w:r>
        <w:t xml:space="preserve">The Auditor's communication skills were generally effective, with clear and concise reporting to clients and regulatory bodies. However, there were opportunities to improve engagement with non-financial stakeholders, who may require more simplified explanations of audit findings.</w:t>
      </w:r>
    </w:p>
    <w:bookmarkEnd w:id="26"/>
    <w:bookmarkEnd w:id="27"/>
    <w:bookmarkStart w:id="28" w:name="strengths"/>
    <w:p>
      <w:pPr>
        <w:pStyle w:val="Heading2"/>
      </w:pPr>
      <w:r>
        <w:t xml:space="preserve">4. Strengths</w:t>
      </w:r>
    </w:p>
    <w:p>
      <w:pPr>
        <w:numPr>
          <w:ilvl w:val="0"/>
          <w:numId w:val="1002"/>
        </w:numPr>
        <w:pStyle w:val="Compact"/>
      </w:pPr>
      <w:r>
        <w:t xml:space="preserve">Strong technical expertise in Brazilian and international accounting standards.</w:t>
      </w:r>
    </w:p>
    <w:p>
      <w:pPr>
        <w:numPr>
          <w:ilvl w:val="0"/>
          <w:numId w:val="1002"/>
        </w:numPr>
        <w:pStyle w:val="Compact"/>
      </w:pPr>
      <w:r>
        <w:t xml:space="preserve">High level of regulatory compliance and attention to detail.</w:t>
      </w:r>
    </w:p>
    <w:p>
      <w:pPr>
        <w:numPr>
          <w:ilvl w:val="0"/>
          <w:numId w:val="1002"/>
        </w:numPr>
        <w:pStyle w:val="Compact"/>
      </w:pPr>
      <w:r>
        <w:t xml:space="preserve">Proactive risk management tailored to the Brazil São Paulo market.</w:t>
      </w:r>
    </w:p>
    <w:p>
      <w:pPr>
        <w:numPr>
          <w:ilvl w:val="0"/>
          <w:numId w:val="1002"/>
        </w:numPr>
        <w:pStyle w:val="Compact"/>
      </w:pPr>
      <w:r>
        <w:t xml:space="preserve">Professionalism and integrity in all interactions.</w:t>
      </w:r>
    </w:p>
    <w:bookmarkEnd w:id="28"/>
    <w:bookmarkStart w:id="29" w:name="areas-for-improvement"/>
    <w:p>
      <w:pPr>
        <w:pStyle w:val="Heading2"/>
      </w:pPr>
      <w:r>
        <w:t xml:space="preserve">5. Areas for Improvement</w:t>
      </w:r>
    </w:p>
    <w:p>
      <w:pPr>
        <w:numPr>
          <w:ilvl w:val="0"/>
          <w:numId w:val="1003"/>
        </w:numPr>
        <w:pStyle w:val="Compact"/>
      </w:pPr>
      <w:r>
        <w:t xml:space="preserve">Enhance communication with non-financial stakeholders to ensure broader understanding of audit outcomes.</w:t>
      </w:r>
    </w:p>
    <w:p>
      <w:pPr>
        <w:numPr>
          <w:ilvl w:val="0"/>
          <w:numId w:val="1003"/>
        </w:numPr>
        <w:pStyle w:val="Compact"/>
      </w:pPr>
      <w:r>
        <w:t xml:space="preserve">Provide more detailed documentation for complex judgments to facilitate transparency.</w:t>
      </w:r>
    </w:p>
    <w:p>
      <w:pPr>
        <w:numPr>
          <w:ilvl w:val="0"/>
          <w:numId w:val="1003"/>
        </w:numPr>
        <w:pStyle w:val="Compact"/>
      </w:pPr>
      <w:r>
        <w:t xml:space="preserve">Stay ahead of emerging trends in the Brazil São Paulo market, such as digital transformation and sustainability reporting.</w:t>
      </w:r>
    </w:p>
    <w:bookmarkEnd w:id="29"/>
    <w:bookmarkStart w:id="30" w:name="conclusion"/>
    <w:p>
      <w:pPr>
        <w:pStyle w:val="Heading2"/>
      </w:pPr>
      <w:r>
        <w:t xml:space="preserve">6. Conclusion</w:t>
      </w:r>
    </w:p>
    <w:p>
      <w:pPr>
        <w:pStyle w:val="FirstParagraph"/>
      </w:pPr>
      <w:r>
        <w:t xml:space="preserve">Overall, the Auditor has demonstrated a high level of competence and professionalism in their role within Brazil São Paulo. Their adherence to regulatory standards, technical expertise, and proactive approach to risk management make them a valuable asset to any organization. By addressing the identified areas for improvement, the Auditor can further enhance their effectiveness and contribute even more significantly to the integrity of financial reporting in this vital economic region.</w:t>
      </w:r>
    </w:p>
    <w:bookmarkEnd w:id="30"/>
    <w:p>
      <w:pPr>
        <w:pStyle w:val="BodyText"/>
      </w:pPr>
      <w:r>
        <w:rPr>
          <w:bCs/>
          <w:b/>
        </w:rPr>
        <w:t xml:space="preserve">Prepared by:</w:t>
      </w:r>
    </w:p>
    <w:p>
      <w:pPr>
        <w:pStyle w:val="BodyText"/>
      </w:pPr>
      <w:r>
        <w:t xml:space="preserve">[Reviewer's Name]</w:t>
      </w:r>
    </w:p>
    <w:p>
      <w:pPr>
        <w:pStyle w:val="BodyText"/>
      </w:pPr>
      <w:r>
        <w:t xml:space="preserve">[Reviewer's Title]</w:t>
      </w:r>
    </w:p>
    <w:p>
      <w:pPr>
        <w:pStyle w:val="BodyText"/>
      </w:pPr>
      <w:r>
        <w:t xml:space="preserve">[Organization]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Auditor Performance Evaluation</dc:title>
  <dc:creator/>
  <dc:language>en</dc:language>
  <cp:keywords/>
  <dcterms:created xsi:type="dcterms:W3CDTF">2026-10-10T08:13:20Z</dcterms:created>
  <dcterms:modified xsi:type="dcterms:W3CDTF">2026-10-10T08:13:20Z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